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7D" w:rsidRPr="009921E0" w:rsidRDefault="007D235B" w:rsidP="00DB7275">
      <w:pPr>
        <w:jc w:val="center"/>
        <w:rPr>
          <w:b/>
        </w:rPr>
      </w:pPr>
      <w:r>
        <w:rPr>
          <w:b/>
        </w:rPr>
        <w:t>RESOLUTION NO. 2018-3.8</w:t>
      </w:r>
      <w:bookmarkStart w:id="0" w:name="_GoBack"/>
      <w:bookmarkEnd w:id="0"/>
      <w:r w:rsidR="00DB7275" w:rsidRPr="009921E0">
        <w:rPr>
          <w:b/>
        </w:rPr>
        <w:br/>
        <w:t>OF THE GOVERNING BODY OF</w:t>
      </w:r>
      <w:r w:rsidR="00DB7275" w:rsidRPr="009921E0">
        <w:rPr>
          <w:b/>
        </w:rPr>
        <w:br/>
      </w:r>
      <w:r w:rsidR="00DB7275" w:rsidRPr="009921E0">
        <w:rPr>
          <w:b/>
          <w:u w:val="single"/>
        </w:rPr>
        <w:t>THE BOROUGH OF BLOOMINGDALE</w:t>
      </w:r>
    </w:p>
    <w:p w:rsidR="00DB7275" w:rsidRPr="009921E0" w:rsidRDefault="00DB7275" w:rsidP="00DB7275">
      <w:pPr>
        <w:jc w:val="center"/>
        <w:rPr>
          <w:b/>
        </w:rPr>
      </w:pPr>
    </w:p>
    <w:p w:rsidR="00DB7275" w:rsidRPr="009921E0" w:rsidRDefault="00DB7275" w:rsidP="00DB7275">
      <w:pPr>
        <w:jc w:val="center"/>
        <w:rPr>
          <w:b/>
        </w:rPr>
      </w:pPr>
      <w:r w:rsidRPr="009921E0">
        <w:rPr>
          <w:b/>
        </w:rPr>
        <w:t>A RESOLUTION AUTHORIZING A GRANT APPLICATION TO THE PASSAIC COUNTY OPEN SPACE, FARMLAND, AND HISTORIC PRESERVATION TRUST FUND FOR THE BOGUE POND BASKETBALL COURT PROJECT BY THE BOROUGH OF BLOOMINGDALE</w:t>
      </w:r>
    </w:p>
    <w:p w:rsidR="00DB7275" w:rsidRDefault="00DB7275" w:rsidP="00DB7275">
      <w:pPr>
        <w:jc w:val="center"/>
      </w:pPr>
    </w:p>
    <w:p w:rsidR="00DB7275" w:rsidRDefault="00DB7275" w:rsidP="00062346">
      <w:pPr>
        <w:spacing w:line="360" w:lineRule="auto"/>
      </w:pPr>
      <w:r>
        <w:tab/>
      </w:r>
      <w:r w:rsidRPr="009921E0">
        <w:rPr>
          <w:b/>
        </w:rPr>
        <w:t>WHEREAS</w:t>
      </w:r>
      <w:r w:rsidRPr="00DB7275">
        <w:t xml:space="preserve">, the Passaic County Board of Chosen Freeholders (hereafter “Board”) provide grants to municipalities and qualified non-profit corporations for the assistance in acquisition, development, stewardship, and historic preservation from the Passaic County Open Space, Farmland, and Historic Preservation Trust Fund (hereafter “Trust Fund”); and </w:t>
      </w:r>
    </w:p>
    <w:p w:rsidR="00DB7275" w:rsidRDefault="00DB7275" w:rsidP="00062346">
      <w:pPr>
        <w:spacing w:line="360" w:lineRule="auto"/>
      </w:pPr>
      <w:r>
        <w:tab/>
      </w:r>
      <w:r w:rsidRPr="009921E0">
        <w:rPr>
          <w:b/>
        </w:rPr>
        <w:t>WHEREAS</w:t>
      </w:r>
      <w:r w:rsidRPr="00DB7275">
        <w:t xml:space="preserve">, the </w:t>
      </w:r>
      <w:r w:rsidRPr="006F1712">
        <w:t xml:space="preserve">Borough of Bloomingdale desires to further the public interest by obtaining funding in the amount of </w:t>
      </w:r>
      <w:r w:rsidR="006F1712" w:rsidRPr="006F1712">
        <w:t>$135,907.50</w:t>
      </w:r>
      <w:r w:rsidRPr="006F1712">
        <w:t xml:space="preserve"> from the Board for the County to fund </w:t>
      </w:r>
      <w:r w:rsidR="006F1712" w:rsidRPr="006F1712">
        <w:t>the renovation of Bogue Pond basketball courts including new macadam, benches, poles, and backboards</w:t>
      </w:r>
      <w:r w:rsidRPr="006F1712">
        <w:t xml:space="preserve"> at a cost of </w:t>
      </w:r>
      <w:r w:rsidR="006F1712" w:rsidRPr="006F1712">
        <w:t>$135,907.50</w:t>
      </w:r>
      <w:r w:rsidRPr="006F1712">
        <w:t xml:space="preserve">; and </w:t>
      </w:r>
    </w:p>
    <w:p w:rsidR="00DB7275" w:rsidRDefault="00DB7275" w:rsidP="00062346">
      <w:pPr>
        <w:spacing w:line="360" w:lineRule="auto"/>
      </w:pPr>
      <w:r>
        <w:tab/>
      </w:r>
      <w:r w:rsidRPr="009921E0">
        <w:rPr>
          <w:b/>
        </w:rPr>
        <w:t>WHEREAS</w:t>
      </w:r>
      <w:r w:rsidRPr="00DB7275">
        <w:t>, the Board shall determine if the application is complete and in conformance with the scope and intent of the Trust Fund program and the rules and regulations established pursuant to R20170349, and any subsequent Resolutions passed by the Board governing the administration of the Trust Fund; and</w:t>
      </w:r>
    </w:p>
    <w:p w:rsidR="00DB7275" w:rsidRPr="009921E0" w:rsidRDefault="00DB7275" w:rsidP="00062346">
      <w:pPr>
        <w:spacing w:line="360" w:lineRule="auto"/>
        <w:rPr>
          <w:b/>
        </w:rPr>
      </w:pPr>
      <w:r w:rsidRPr="00DB7275">
        <w:t xml:space="preserve"> </w:t>
      </w:r>
      <w:r w:rsidR="00FC103A">
        <w:tab/>
      </w:r>
      <w:r w:rsidRPr="009921E0">
        <w:rPr>
          <w:b/>
        </w:rPr>
        <w:t xml:space="preserve">NOW, THEREFORE, BE IT RESOLVED BY THE GOVERNING BODY OF THE BOROUGH OF BLOOMINGDALE AS FOLLOWS: </w:t>
      </w:r>
    </w:p>
    <w:p w:rsidR="00DB7275" w:rsidRDefault="00DB7275" w:rsidP="007D235B">
      <w:pPr>
        <w:pStyle w:val="ListParagraph"/>
        <w:numPr>
          <w:ilvl w:val="0"/>
          <w:numId w:val="1"/>
        </w:numPr>
        <w:spacing w:line="360" w:lineRule="auto"/>
      </w:pPr>
      <w:r w:rsidRPr="00DB7275">
        <w:t xml:space="preserve">The </w:t>
      </w:r>
      <w:r>
        <w:t>Borough Engineer/Mayor</w:t>
      </w:r>
      <w:r w:rsidRPr="00DB7275">
        <w:t xml:space="preserve"> is authorized to make application, provide all required information and documents as required, and correspond as necessary for a grant to the </w:t>
      </w:r>
      <w:r w:rsidRPr="007D235B">
        <w:t>Passaic County Open Space, Farmland, and Historic Preservation Trust Fund;</w:t>
      </w:r>
    </w:p>
    <w:p w:rsidR="007D235B" w:rsidRPr="007D235B" w:rsidRDefault="007D235B" w:rsidP="007D235B">
      <w:pPr>
        <w:pStyle w:val="ListParagraph"/>
        <w:spacing w:line="360" w:lineRule="auto"/>
        <w:ind w:left="1080"/>
      </w:pPr>
    </w:p>
    <w:p w:rsidR="00DB7275" w:rsidRPr="007D235B" w:rsidRDefault="00DB7275" w:rsidP="00062346">
      <w:pPr>
        <w:spacing w:line="360" w:lineRule="auto"/>
        <w:ind w:left="720"/>
      </w:pPr>
      <w:r w:rsidRPr="007D235B">
        <w:t xml:space="preserve">2. That the Borough Engineer/Mayor is hereby authorized to execute a grant agreement and any amendment there with the County of Passaic for the </w:t>
      </w:r>
      <w:r w:rsidR="007D235B" w:rsidRPr="007D235B">
        <w:t>renovations of Bogue Pond Basketball Courts</w:t>
      </w:r>
      <w:r w:rsidRPr="007D235B">
        <w:t xml:space="preserve">; </w:t>
      </w:r>
    </w:p>
    <w:p w:rsidR="00DB7275" w:rsidRDefault="00DB7275" w:rsidP="00062346">
      <w:pPr>
        <w:spacing w:line="360" w:lineRule="auto"/>
        <w:ind w:left="720"/>
      </w:pPr>
      <w:r w:rsidRPr="00DB7275">
        <w:lastRenderedPageBreak/>
        <w:t xml:space="preserve">3. That, if the funds provided by the County are less than the total project cost specified above, the applicant has the balance of funding necessary to complete the project; and </w:t>
      </w:r>
    </w:p>
    <w:p w:rsidR="007D235B" w:rsidRDefault="007D235B" w:rsidP="00062346">
      <w:pPr>
        <w:spacing w:line="360" w:lineRule="auto"/>
        <w:ind w:left="720"/>
      </w:pPr>
    </w:p>
    <w:p w:rsidR="00DB7275" w:rsidRDefault="00DB7275" w:rsidP="00062346">
      <w:pPr>
        <w:spacing w:line="360" w:lineRule="auto"/>
        <w:ind w:left="720"/>
      </w:pPr>
      <w:r w:rsidRPr="00DB7275">
        <w:t xml:space="preserve">4. That, the applicant agrees to comply with all applicable federal, State, County, and local laws, rules, and regulations in its performance of the project; and </w:t>
      </w:r>
    </w:p>
    <w:p w:rsidR="007D235B" w:rsidRDefault="007D235B" w:rsidP="00062346">
      <w:pPr>
        <w:spacing w:line="360" w:lineRule="auto"/>
        <w:ind w:left="720"/>
      </w:pPr>
    </w:p>
    <w:p w:rsidR="00DB7275" w:rsidRDefault="00DB7275" w:rsidP="00062346">
      <w:pPr>
        <w:spacing w:line="360" w:lineRule="auto"/>
        <w:ind w:firstLine="720"/>
      </w:pPr>
      <w:r w:rsidRPr="00DB7275">
        <w:t>5. That this Resolution shall take effect immediately.</w:t>
      </w:r>
    </w:p>
    <w:p w:rsidR="00FC103A" w:rsidRDefault="00FC103A" w:rsidP="00DB7275"/>
    <w:p w:rsidR="00FC103A" w:rsidRDefault="00FC103A" w:rsidP="00DB7275"/>
    <w:p w:rsidR="00FC103A" w:rsidRPr="00FC103A" w:rsidRDefault="00FC103A" w:rsidP="00FC103A">
      <w:pPr>
        <w:keepNext/>
        <w:spacing w:after="0" w:line="240" w:lineRule="auto"/>
        <w:jc w:val="center"/>
        <w:outlineLvl w:val="1"/>
        <w:rPr>
          <w:rFonts w:eastAsia="Times New Roman"/>
          <w:b/>
          <w:i/>
          <w:sz w:val="20"/>
          <w:szCs w:val="18"/>
        </w:rPr>
      </w:pPr>
      <w:r w:rsidRPr="00FC103A">
        <w:rPr>
          <w:rFonts w:eastAsia="Times New Roman"/>
          <w:b/>
          <w:i/>
          <w:sz w:val="20"/>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FC103A" w:rsidRPr="00FC103A" w:rsidTr="00B45908">
        <w:tc>
          <w:tcPr>
            <w:tcW w:w="189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sz w:val="18"/>
                <w:szCs w:val="18"/>
              </w:rPr>
              <w:t>Absent</w:t>
            </w:r>
          </w:p>
        </w:tc>
      </w:tr>
      <w:tr w:rsidR="00FC103A" w:rsidRPr="00FC103A" w:rsidTr="00B45908">
        <w:tc>
          <w:tcPr>
            <w:tcW w:w="189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
        </w:tc>
      </w:tr>
      <w:tr w:rsidR="00FC103A" w:rsidRPr="00FC103A" w:rsidTr="00B45908">
        <w:tc>
          <w:tcPr>
            <w:tcW w:w="189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roofErr w:type="spellStart"/>
            <w:r w:rsidRPr="00FC103A">
              <w:rPr>
                <w:rFonts w:eastAsia="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r>
      <w:tr w:rsidR="00FC103A" w:rsidRPr="00FC103A" w:rsidTr="00B45908">
        <w:tc>
          <w:tcPr>
            <w:tcW w:w="189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roofErr w:type="spellStart"/>
            <w:r w:rsidRPr="00FC103A">
              <w:rPr>
                <w:rFonts w:eastAsia="Times New Roman"/>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roofErr w:type="spellStart"/>
            <w:r w:rsidRPr="00FC103A">
              <w:rPr>
                <w:rFonts w:eastAsia="Times New Roman"/>
                <w:sz w:val="18"/>
                <w:szCs w:val="18"/>
              </w:rPr>
              <w:t>Yazdi</w:t>
            </w:r>
            <w:proofErr w:type="spellEnd"/>
          </w:p>
        </w:tc>
        <w:tc>
          <w:tcPr>
            <w:tcW w:w="665"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r>
      <w:tr w:rsidR="00FC103A" w:rsidRPr="00FC103A" w:rsidTr="00B45908">
        <w:tc>
          <w:tcPr>
            <w:tcW w:w="1890" w:type="dxa"/>
            <w:tcBorders>
              <w:top w:val="single" w:sz="6" w:space="0" w:color="auto"/>
              <w:left w:val="single" w:sz="6" w:space="0" w:color="auto"/>
              <w:bottom w:val="single" w:sz="6" w:space="0" w:color="auto"/>
              <w:right w:val="single" w:sz="6" w:space="0" w:color="auto"/>
            </w:tcBorders>
            <w:hideMark/>
          </w:tcPr>
          <w:p w:rsidR="00FC103A" w:rsidRPr="00FC103A" w:rsidRDefault="00FC103A" w:rsidP="00FC103A">
            <w:pPr>
              <w:spacing w:after="0" w:line="240" w:lineRule="auto"/>
              <w:rPr>
                <w:rFonts w:eastAsia="Times New Roman"/>
                <w:sz w:val="18"/>
                <w:szCs w:val="18"/>
              </w:rPr>
            </w:pPr>
            <w:r w:rsidRPr="00FC103A">
              <w:rPr>
                <w:rFonts w:eastAsia="Times New Roman"/>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665"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C103A" w:rsidRPr="00FC103A" w:rsidRDefault="00FC103A" w:rsidP="00FC103A">
            <w:pPr>
              <w:spacing w:after="0" w:line="240" w:lineRule="auto"/>
              <w:rPr>
                <w:rFonts w:eastAsia="Times New Roman"/>
                <w:sz w:val="18"/>
                <w:szCs w:val="18"/>
              </w:rPr>
            </w:pPr>
          </w:p>
        </w:tc>
      </w:tr>
    </w:tbl>
    <w:p w:rsidR="00FC103A" w:rsidRPr="00FC103A" w:rsidRDefault="00FC103A" w:rsidP="00FC103A">
      <w:pPr>
        <w:spacing w:after="0" w:line="240" w:lineRule="auto"/>
        <w:rPr>
          <w:rFonts w:ascii="Courier New" w:eastAsia="Times New Roman" w:hAnsi="Courier New"/>
          <w:sz w:val="16"/>
          <w:szCs w:val="16"/>
        </w:rPr>
      </w:pPr>
    </w:p>
    <w:p w:rsidR="00FC103A" w:rsidRPr="00FC103A" w:rsidRDefault="00FC103A" w:rsidP="00FC103A">
      <w:pPr>
        <w:spacing w:after="0" w:line="240" w:lineRule="auto"/>
        <w:rPr>
          <w:rFonts w:eastAsia="Times New Roman"/>
          <w:sz w:val="20"/>
          <w:szCs w:val="20"/>
        </w:rPr>
      </w:pPr>
      <w:r w:rsidRPr="00FC103A">
        <w:rPr>
          <w:rFonts w:eastAsia="Times New Roman"/>
          <w:sz w:val="20"/>
          <w:szCs w:val="20"/>
        </w:rPr>
        <w:t>I hereby certify that the foregoing is a true copy of a Resolution adopted by the Governing Body of the Borough of Bloomingdale at an Official Meeting held on March 20, 2018.</w:t>
      </w:r>
    </w:p>
    <w:p w:rsidR="00FC103A" w:rsidRPr="00FC103A" w:rsidRDefault="00FC103A" w:rsidP="00FC103A">
      <w:pPr>
        <w:spacing w:after="0" w:line="240" w:lineRule="auto"/>
        <w:rPr>
          <w:rFonts w:eastAsia="Times New Roman"/>
          <w:sz w:val="20"/>
          <w:szCs w:val="20"/>
        </w:rPr>
      </w:pPr>
    </w:p>
    <w:p w:rsidR="00FC103A" w:rsidRPr="00FC103A" w:rsidRDefault="00FC103A" w:rsidP="00FC103A">
      <w:pPr>
        <w:spacing w:after="0" w:line="240" w:lineRule="auto"/>
        <w:rPr>
          <w:rFonts w:eastAsia="Times New Roman"/>
          <w:sz w:val="20"/>
          <w:szCs w:val="20"/>
        </w:rPr>
      </w:pPr>
      <w:r w:rsidRPr="00FC103A">
        <w:rPr>
          <w:rFonts w:eastAsia="Times New Roman"/>
          <w:sz w:val="20"/>
          <w:szCs w:val="20"/>
        </w:rPr>
        <w:t>___________________________________</w:t>
      </w:r>
    </w:p>
    <w:p w:rsidR="00FC103A" w:rsidRPr="00FC103A" w:rsidRDefault="00FC103A" w:rsidP="00FC103A">
      <w:pPr>
        <w:spacing w:after="0" w:line="240" w:lineRule="auto"/>
        <w:rPr>
          <w:rFonts w:eastAsia="Times New Roman"/>
          <w:sz w:val="20"/>
          <w:szCs w:val="20"/>
        </w:rPr>
      </w:pPr>
      <w:r w:rsidRPr="00FC103A">
        <w:rPr>
          <w:rFonts w:eastAsia="Times New Roman"/>
          <w:sz w:val="20"/>
          <w:szCs w:val="20"/>
        </w:rPr>
        <w:t>Breeanna Calabro, R.M.C.</w:t>
      </w:r>
    </w:p>
    <w:p w:rsidR="00FC103A" w:rsidRPr="00FC103A" w:rsidRDefault="00FC103A" w:rsidP="00FC103A">
      <w:pPr>
        <w:spacing w:after="0" w:line="240" w:lineRule="auto"/>
        <w:rPr>
          <w:rFonts w:eastAsia="Times New Roman"/>
          <w:sz w:val="20"/>
          <w:szCs w:val="20"/>
        </w:rPr>
      </w:pPr>
      <w:r w:rsidRPr="00FC103A">
        <w:rPr>
          <w:rFonts w:eastAsia="Times New Roman"/>
          <w:sz w:val="20"/>
          <w:szCs w:val="20"/>
        </w:rPr>
        <w:t>Municipal Clerk, Borough of Bloomingdale</w:t>
      </w:r>
    </w:p>
    <w:p w:rsidR="00FC103A" w:rsidRDefault="00FC103A" w:rsidP="00DB7275"/>
    <w:p w:rsidR="00FC103A" w:rsidRPr="00FC103A" w:rsidRDefault="00FC103A" w:rsidP="00FC103A">
      <w:r>
        <w:t>IN WITNESS WHEREOF, I have hereunder set my hand and the official seal of this body this _____ day of ________________, _____.</w:t>
      </w:r>
    </w:p>
    <w:sectPr w:rsidR="00FC103A" w:rsidRPr="00FC1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6019E"/>
    <w:multiLevelType w:val="hybridMultilevel"/>
    <w:tmpl w:val="BB6A7798"/>
    <w:lvl w:ilvl="0" w:tplc="BCA6D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75"/>
    <w:rsid w:val="00062346"/>
    <w:rsid w:val="006F1712"/>
    <w:rsid w:val="007D235B"/>
    <w:rsid w:val="009921E0"/>
    <w:rsid w:val="00C1317D"/>
    <w:rsid w:val="00DB7275"/>
    <w:rsid w:val="00FC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999D-D0A8-4842-AC90-CF420D0C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6</cp:revision>
  <dcterms:created xsi:type="dcterms:W3CDTF">2018-03-15T20:52:00Z</dcterms:created>
  <dcterms:modified xsi:type="dcterms:W3CDTF">2018-03-16T13:24:00Z</dcterms:modified>
</cp:coreProperties>
</file>