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E1" w:rsidRPr="00C267E1" w:rsidRDefault="00C267E1" w:rsidP="00C267E1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  <w:r w:rsidRPr="00C267E1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RESOLUT ION NO. 2014-5.___</w:t>
      </w:r>
    </w:p>
    <w:p w:rsidR="00C267E1" w:rsidRPr="00C267E1" w:rsidRDefault="00C267E1" w:rsidP="00C267E1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</w:pPr>
      <w:r w:rsidRPr="00C267E1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>OF THE GOVERNING BODY</w:t>
      </w:r>
    </w:p>
    <w:p w:rsidR="00C267E1" w:rsidRPr="00C267E1" w:rsidRDefault="00C267E1" w:rsidP="00C267E1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</w:pPr>
      <w:r w:rsidRPr="00C267E1">
        <w:rPr>
          <w:rFonts w:ascii="TimesNewRomanPS-BoldItalicMT" w:hAnsi="TimesNewRomanPS-BoldItalicMT" w:cs="TimesNewRomanPS-BoldItalicMT"/>
          <w:b/>
          <w:bCs/>
          <w:iCs/>
          <w:sz w:val="24"/>
          <w:szCs w:val="24"/>
          <w:u w:val="single"/>
        </w:rPr>
        <w:t>OF THE BOROUGH OF BLOOMINGDALE</w:t>
      </w:r>
    </w:p>
    <w:p w:rsidR="00C267E1" w:rsidRPr="00C267E1" w:rsidRDefault="00C267E1" w:rsidP="00C267E1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</w:pPr>
    </w:p>
    <w:p w:rsidR="00C267E1" w:rsidRPr="00C267E1" w:rsidRDefault="00C267E1" w:rsidP="00C267E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Whereas, Joint Base McGuire-Dix-Lakehurst,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Picatinny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Arsenal, Naval Weapons Station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Earle, the 177</w:t>
      </w:r>
      <w:r>
        <w:rPr>
          <w:rFonts w:ascii="TimesNewRomanPSMT" w:hAnsi="TimesNewRomanPSMT" w:cs="TimesNewRomanPSMT"/>
          <w:sz w:val="17"/>
          <w:szCs w:val="17"/>
        </w:rPr>
        <w:t xml:space="preserve">th </w:t>
      </w:r>
      <w:r>
        <w:rPr>
          <w:rFonts w:ascii="TimesNewRomanPSMT" w:hAnsi="TimesNewRomanPSMT" w:cs="TimesNewRomanPSMT"/>
          <w:sz w:val="26"/>
          <w:szCs w:val="26"/>
        </w:rPr>
        <w:t>Air National Guard Wing in Atlantic City, the Cape May Coast Guard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Training Center are major federal assets in the state of New Jersey;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the Rutgers Economic Advisory Service, R/ECON™ recently conducted a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26"/>
          <w:szCs w:val="26"/>
        </w:rPr>
        <w:t>study which measured and modeled the economic contribution to the state’s economy of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our military installations;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the Rutgers Economic Advisory Service determined that, in net, the federal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government spent nearly $4.8 billion within the state, which generates over 45,600 jobs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that pay about $2.6 billion and add about $3.8 billion of wealth to state residents;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the $4.8 billion in annual federal spending results in $9.6 billion in net business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revenues;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of this total, $6.5 billion is net wealth was added in the form of Gross Domestic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Product by the State;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of this GDP total, over $4.0 billion is in the form of labor income that supports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an estimated 73,234 jobs, a number greater than the combined employment of the State’s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communications and chemical industries;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all New Jersey military installations make significant individual and collective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contributions to the capabilities of our Armed Forces and our national security;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maintaining and expanding this military core is nearly as critical for its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proofErr w:type="gramStart"/>
      <w:r>
        <w:rPr>
          <w:rFonts w:ascii="TimesNewRomanPSMT" w:hAnsi="TimesNewRomanPSMT" w:cs="TimesNewRomanPSMT"/>
          <w:sz w:val="26"/>
          <w:szCs w:val="26"/>
        </w:rPr>
        <w:t>continued</w:t>
      </w:r>
      <w:proofErr w:type="gramEnd"/>
      <w:r>
        <w:rPr>
          <w:rFonts w:ascii="TimesNewRomanPSMT" w:hAnsi="TimesNewRomanPSMT" w:cs="TimesNewRomanPSMT"/>
          <w:sz w:val="26"/>
          <w:szCs w:val="26"/>
        </w:rPr>
        <w:t xml:space="preserve"> economic welfare as it is to the State’s homeland security missions;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Whereas, in an era of Federal fiscal austerity, policy-makers in our Nation’s Capital will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be asked to consider proposals to reduce defense spending and the size of our uniformed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services;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Now, therefore, be it resolved that the Governor and the State Senate and Assembly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should take immediate steps to protect these valuable military assets, </w:t>
      </w:r>
      <w:r>
        <w:rPr>
          <w:rFonts w:ascii="TimesNewRomanPSMT" w:hAnsi="TimesNewRomanPSMT" w:cs="TimesNewRomanPSMT"/>
          <w:sz w:val="26"/>
          <w:szCs w:val="26"/>
        </w:rPr>
        <w:lastRenderedPageBreak/>
        <w:t>in recognition of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their vital importance to our Nation’s and our State’s security; and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Be it </w:t>
      </w:r>
      <w:r>
        <w:rPr>
          <w:rFonts w:ascii="TimesNewRomanPSMT" w:hAnsi="TimesNewRomanPSMT" w:cs="TimesNewRomanPSMT"/>
          <w:sz w:val="26"/>
          <w:szCs w:val="26"/>
        </w:rPr>
        <w:t xml:space="preserve">further resolved that the Governing Body of the Borough of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Bloomingale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joins with the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New Jersey League of Municipalities in calling on our State leaders to work in concert to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promote the preservation, growth and development of our New Jersey military facilities.</w:t>
      </w: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:rsidR="00C267E1" w:rsidRPr="001F448B" w:rsidRDefault="00C267E1" w:rsidP="00C267E1"/>
    <w:p w:rsidR="00C267E1" w:rsidRDefault="00C267E1" w:rsidP="00C267E1">
      <w:r>
        <w:rPr>
          <w:b/>
        </w:rPr>
        <w:tab/>
      </w:r>
    </w:p>
    <w:p w:rsidR="00C267E1" w:rsidRDefault="00C267E1" w:rsidP="00C267E1">
      <w:pPr>
        <w:pStyle w:val="Heading2"/>
        <w:rPr>
          <w:sz w:val="18"/>
        </w:rPr>
      </w:pPr>
      <w:r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C267E1" w:rsidTr="00C8338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caps/>
                <w:sz w:val="18"/>
              </w:rPr>
            </w:pPr>
            <w:r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Absent</w:t>
            </w:r>
          </w:p>
        </w:tc>
      </w:tr>
      <w:tr w:rsidR="00C267E1" w:rsidTr="00C8338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</w:tr>
      <w:tr w:rsidR="00C267E1" w:rsidTr="00C8338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</w:tr>
      <w:tr w:rsidR="00C267E1" w:rsidTr="00C8338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  <w:r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7E1" w:rsidRDefault="00C267E1" w:rsidP="00C83381">
            <w:pPr>
              <w:rPr>
                <w:sz w:val="18"/>
              </w:rPr>
            </w:pPr>
          </w:p>
        </w:tc>
      </w:tr>
    </w:tbl>
    <w:p w:rsidR="00C267E1" w:rsidRDefault="00C267E1" w:rsidP="00C267E1">
      <w:pPr>
        <w:rPr>
          <w:sz w:val="18"/>
        </w:rPr>
      </w:pPr>
    </w:p>
    <w:p w:rsidR="00C267E1" w:rsidRDefault="00C267E1" w:rsidP="00C267E1">
      <w:pPr>
        <w:rPr>
          <w:sz w:val="18"/>
        </w:rPr>
      </w:pPr>
      <w:r>
        <w:rPr>
          <w:sz w:val="18"/>
        </w:rPr>
        <w:t>I hereby certify that the foregoing is a true copy of a Resolution adopted by the Governing Body of the</w:t>
      </w:r>
    </w:p>
    <w:p w:rsidR="00C267E1" w:rsidRDefault="00C267E1" w:rsidP="00C267E1">
      <w:pPr>
        <w:rPr>
          <w:sz w:val="18"/>
        </w:rPr>
      </w:pPr>
      <w:r>
        <w:rPr>
          <w:sz w:val="18"/>
        </w:rPr>
        <w:t>Borough of Bloomingdale at an Official Meeting held on Tuesday, May 20, 2014.</w:t>
      </w:r>
    </w:p>
    <w:p w:rsidR="00C267E1" w:rsidRDefault="00C267E1" w:rsidP="00C267E1">
      <w:pPr>
        <w:rPr>
          <w:sz w:val="18"/>
        </w:rPr>
      </w:pPr>
    </w:p>
    <w:p w:rsidR="00C267E1" w:rsidRDefault="00C267E1" w:rsidP="00C267E1">
      <w:pPr>
        <w:rPr>
          <w:sz w:val="18"/>
        </w:rPr>
      </w:pPr>
      <w:r>
        <w:rPr>
          <w:sz w:val="18"/>
        </w:rPr>
        <w:t>___________________________________</w:t>
      </w:r>
    </w:p>
    <w:p w:rsidR="00C267E1" w:rsidRDefault="00C267E1" w:rsidP="00C267E1">
      <w:pPr>
        <w:rPr>
          <w:sz w:val="18"/>
        </w:rPr>
      </w:pPr>
      <w:r>
        <w:rPr>
          <w:sz w:val="18"/>
        </w:rPr>
        <w:t>Jane McCarthy, R.M.C.</w:t>
      </w:r>
    </w:p>
    <w:p w:rsidR="00C267E1" w:rsidRDefault="00C267E1" w:rsidP="00C267E1">
      <w:pPr>
        <w:rPr>
          <w:sz w:val="24"/>
        </w:rPr>
      </w:pPr>
      <w:r>
        <w:rPr>
          <w:sz w:val="18"/>
        </w:rPr>
        <w:t>Municipal Clerk, Borough of Bloomingdale</w:t>
      </w:r>
    </w:p>
    <w:p w:rsidR="00C267E1" w:rsidRDefault="00C267E1" w:rsidP="00C267E1"/>
    <w:p w:rsidR="00C267E1" w:rsidRDefault="00C267E1" w:rsidP="00C267E1"/>
    <w:p w:rsidR="00C267E1" w:rsidRDefault="00C267E1" w:rsidP="00C267E1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sectPr w:rsidR="00C26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E1"/>
    <w:rsid w:val="00C267E1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77EEA-C767-4C1E-9193-D2C94B77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267E1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67E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2014-05-15T12:33:00Z</cp:lastPrinted>
  <dcterms:created xsi:type="dcterms:W3CDTF">2014-05-15T12:27:00Z</dcterms:created>
  <dcterms:modified xsi:type="dcterms:W3CDTF">2014-05-15T12:33:00Z</dcterms:modified>
</cp:coreProperties>
</file>