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4DB2" w14:textId="2910D5AB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F05D5D">
        <w:rPr>
          <w:b/>
          <w:bCs/>
          <w:sz w:val="24"/>
          <w:szCs w:val="24"/>
        </w:rPr>
        <w:t>6-</w:t>
      </w:r>
      <w:r w:rsidR="00AF5098">
        <w:rPr>
          <w:b/>
          <w:bCs/>
          <w:sz w:val="24"/>
          <w:szCs w:val="24"/>
        </w:rPr>
        <w:t>5.</w:t>
      </w:r>
      <w:r w:rsidR="0007631D">
        <w:rPr>
          <w:b/>
          <w:bCs/>
          <w:sz w:val="24"/>
          <w:szCs w:val="24"/>
        </w:rPr>
        <w:t>4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</w:t>
      </w:r>
      <w:proofErr w:type="spellStart"/>
      <w:r w:rsidR="00DD5459">
        <w:rPr>
          <w:b/>
          <w:bCs/>
          <w:sz w:val="24"/>
          <w:szCs w:val="24"/>
        </w:rPr>
        <w:t>N.J.S.A</w:t>
      </w:r>
      <w:proofErr w:type="spellEnd"/>
      <w:r w:rsidR="00DD5459">
        <w:rPr>
          <w:b/>
          <w:bCs/>
          <w:sz w:val="24"/>
          <w:szCs w:val="24"/>
        </w:rPr>
        <w:t>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3F930C14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D54058">
        <w:rPr>
          <w:sz w:val="24"/>
          <w:szCs w:val="24"/>
        </w:rPr>
        <w:t xml:space="preserve"> the </w:t>
      </w:r>
      <w:r w:rsidR="00A67225">
        <w:rPr>
          <w:sz w:val="24"/>
          <w:szCs w:val="24"/>
        </w:rPr>
        <w:t>Borough</w:t>
      </w:r>
      <w:r w:rsidR="00D54058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of Bloomingdale</w:t>
      </w:r>
      <w:r w:rsidR="00F05D5D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has title to the following property</w:t>
      </w:r>
      <w:r w:rsidR="00C815E8">
        <w:rPr>
          <w:sz w:val="24"/>
          <w:szCs w:val="24"/>
        </w:rPr>
        <w:t>:</w:t>
      </w:r>
    </w:p>
    <w:p w14:paraId="43DC41D0" w14:textId="77777777" w:rsidR="00AF5098" w:rsidRDefault="00AF5098" w:rsidP="002E2CEE">
      <w:pPr>
        <w:jc w:val="both"/>
        <w:rPr>
          <w:sz w:val="24"/>
          <w:szCs w:val="24"/>
        </w:rPr>
      </w:pPr>
    </w:p>
    <w:tbl>
      <w:tblPr>
        <w:tblW w:w="10259" w:type="dxa"/>
        <w:tblLook w:val="04A0" w:firstRow="1" w:lastRow="0" w:firstColumn="1" w:lastColumn="0" w:noHBand="0" w:noVBand="1"/>
      </w:tblPr>
      <w:tblGrid>
        <w:gridCol w:w="4530"/>
        <w:gridCol w:w="960"/>
        <w:gridCol w:w="976"/>
        <w:gridCol w:w="1123"/>
        <w:gridCol w:w="2670"/>
      </w:tblGrid>
      <w:tr w:rsidR="00AF5098" w:rsidRPr="00AF5098" w14:paraId="07508F6F" w14:textId="77777777" w:rsidTr="009D62EF">
        <w:trPr>
          <w:trHeight w:val="3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247E" w14:textId="77777777" w:rsidR="00AF5098" w:rsidRPr="00AF5098" w:rsidRDefault="00AF5098" w:rsidP="00AF509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F5098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D396" w14:textId="77777777" w:rsidR="00AF5098" w:rsidRPr="00AF5098" w:rsidRDefault="00AF5098" w:rsidP="00AF509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F5098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YEAR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E4DB" w14:textId="77777777" w:rsidR="00AF5098" w:rsidRPr="00AF5098" w:rsidRDefault="00AF5098" w:rsidP="00AF509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F5098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MAKE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645A" w14:textId="77777777" w:rsidR="00AF5098" w:rsidRPr="00AF5098" w:rsidRDefault="00AF5098" w:rsidP="00AF509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F5098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MODEL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8C6A" w14:textId="77777777" w:rsidR="00AF5098" w:rsidRPr="00AF5098" w:rsidRDefault="00AF5098" w:rsidP="00AF509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F5098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VIN #</w:t>
            </w:r>
          </w:p>
        </w:tc>
      </w:tr>
      <w:tr w:rsidR="00AF5098" w:rsidRPr="00AF5098" w14:paraId="61BCDC98" w14:textId="77777777" w:rsidTr="009D62EF">
        <w:trPr>
          <w:trHeight w:val="3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5AE5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Sweeper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E2EA" w14:textId="77777777" w:rsidR="00AF5098" w:rsidRPr="00AF5098" w:rsidRDefault="00AF5098" w:rsidP="00AF509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F363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Sterling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08A3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SC8000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2FBB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49HAADBV36DV11008</w:t>
            </w:r>
          </w:p>
        </w:tc>
      </w:tr>
      <w:tr w:rsidR="00AF5098" w:rsidRPr="00AF5098" w14:paraId="556A4FBB" w14:textId="77777777" w:rsidTr="009D62EF">
        <w:trPr>
          <w:trHeight w:val="3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8DE2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Truck #21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E8B4" w14:textId="77777777" w:rsidR="00AF5098" w:rsidRPr="00AF5098" w:rsidRDefault="00AF5098" w:rsidP="00AF509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ED72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2720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F350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C214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1FTWF31P06EA68204</w:t>
            </w:r>
          </w:p>
        </w:tc>
      </w:tr>
      <w:tr w:rsidR="00AF5098" w:rsidRPr="00AF5098" w14:paraId="751C4F01" w14:textId="77777777" w:rsidTr="009D62EF">
        <w:trPr>
          <w:trHeight w:val="3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AA4C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Truck #28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1EFF" w14:textId="77777777" w:rsidR="00AF5098" w:rsidRPr="00AF5098" w:rsidRDefault="00AF5098" w:rsidP="00AF5098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DA01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2922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F350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F637" w14:textId="77777777" w:rsidR="00AF5098" w:rsidRPr="00AF5098" w:rsidRDefault="00AF5098" w:rsidP="00AF509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F5098">
              <w:rPr>
                <w:rFonts w:eastAsia="Times New Roman"/>
                <w:color w:val="000000"/>
                <w:sz w:val="24"/>
                <w:szCs w:val="24"/>
              </w:rPr>
              <w:t>1FTWF31R38EE30403</w:t>
            </w:r>
          </w:p>
        </w:tc>
      </w:tr>
    </w:tbl>
    <w:p w14:paraId="50F6B395" w14:textId="73D59B35" w:rsidR="00F05D5D" w:rsidRDefault="00F05D5D" w:rsidP="00D56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D580F" w14:textId="2510FA1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 w:rsidR="00C743BD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 xml:space="preserve">the </w:t>
      </w:r>
      <w:proofErr w:type="gramStart"/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proofErr w:type="gramEnd"/>
      <w:r w:rsidR="00A67225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>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06F8832E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Borough wishes to </w:t>
      </w:r>
      <w:r w:rsidR="0081629C">
        <w:rPr>
          <w:sz w:val="24"/>
          <w:szCs w:val="24"/>
        </w:rPr>
        <w:t>auction</w:t>
      </w:r>
      <w:r>
        <w:rPr>
          <w:sz w:val="24"/>
          <w:szCs w:val="24"/>
        </w:rPr>
        <w:t xml:space="preserve"> o</w:t>
      </w:r>
      <w:r w:rsidR="0081629C">
        <w:rPr>
          <w:sz w:val="24"/>
          <w:szCs w:val="24"/>
        </w:rPr>
        <w:t>f</w:t>
      </w:r>
      <w:r>
        <w:rPr>
          <w:sz w:val="24"/>
          <w:szCs w:val="24"/>
        </w:rPr>
        <w:t xml:space="preserve">f the </w:t>
      </w:r>
      <w:proofErr w:type="gramStart"/>
      <w:r w:rsidR="00DD5459">
        <w:rPr>
          <w:sz w:val="24"/>
          <w:szCs w:val="24"/>
        </w:rPr>
        <w:t>aforementioned property</w:t>
      </w:r>
      <w:proofErr w:type="gramEnd"/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proofErr w:type="gramStart"/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0C1A3CDB" w:rsidR="00E560DD" w:rsidRDefault="006318F3" w:rsidP="002E2CEE">
      <w:pPr>
        <w:ind w:firstLine="720"/>
        <w:jc w:val="both"/>
        <w:rPr>
          <w:sz w:val="24"/>
          <w:szCs w:val="24"/>
        </w:rPr>
      </w:pPr>
      <w:proofErr w:type="gramStart"/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</w:t>
      </w:r>
      <w:proofErr w:type="gramEnd"/>
      <w:r w:rsidR="003A79F9">
        <w:rPr>
          <w:sz w:val="24"/>
          <w:szCs w:val="24"/>
        </w:rPr>
        <w:t xml:space="preserve"> the terms and conditions of the agreement that will be entered into with the vendor are available on the vendor’s website and available in the</w:t>
      </w:r>
      <w:r w:rsidR="00D54058">
        <w:rPr>
          <w:sz w:val="24"/>
          <w:szCs w:val="24"/>
        </w:rPr>
        <w:t xml:space="preserve"> Department of Public Work’</w:t>
      </w:r>
      <w:r w:rsidR="003A79F9">
        <w:rPr>
          <w:sz w:val="24"/>
          <w:szCs w:val="24"/>
        </w:rPr>
        <w:t>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54ED6711" w14:textId="3BDD0480" w:rsidR="00223E76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7BAF9FE0" w14:textId="77777777" w:rsidR="00A1342B" w:rsidRDefault="00A1342B" w:rsidP="00A1342B">
      <w:pPr>
        <w:rPr>
          <w:sz w:val="24"/>
          <w:szCs w:val="24"/>
        </w:rPr>
      </w:pPr>
    </w:p>
    <w:p w14:paraId="789256C1" w14:textId="77777777" w:rsidR="00A1342B" w:rsidRDefault="00A1342B" w:rsidP="002E2CEE">
      <w:pPr>
        <w:jc w:val="both"/>
        <w:rPr>
          <w:sz w:val="24"/>
          <w:szCs w:val="24"/>
        </w:rPr>
      </w:pPr>
    </w:p>
    <w:sectPr w:rsidR="00A1342B" w:rsidSect="00AF5098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7631D"/>
    <w:rsid w:val="00091963"/>
    <w:rsid w:val="000A6BC3"/>
    <w:rsid w:val="000C3590"/>
    <w:rsid w:val="000D47CF"/>
    <w:rsid w:val="000F7FA4"/>
    <w:rsid w:val="001020BB"/>
    <w:rsid w:val="00135DBB"/>
    <w:rsid w:val="00142C2D"/>
    <w:rsid w:val="00144981"/>
    <w:rsid w:val="001456C1"/>
    <w:rsid w:val="00173421"/>
    <w:rsid w:val="001839AD"/>
    <w:rsid w:val="001A0604"/>
    <w:rsid w:val="001D2521"/>
    <w:rsid w:val="001D7D6D"/>
    <w:rsid w:val="0021010C"/>
    <w:rsid w:val="00223E76"/>
    <w:rsid w:val="00226FA5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4DB0"/>
    <w:rsid w:val="003A79F9"/>
    <w:rsid w:val="003D73F6"/>
    <w:rsid w:val="00414678"/>
    <w:rsid w:val="00421489"/>
    <w:rsid w:val="00432CCE"/>
    <w:rsid w:val="0043319C"/>
    <w:rsid w:val="004335C3"/>
    <w:rsid w:val="00433B39"/>
    <w:rsid w:val="0044037D"/>
    <w:rsid w:val="00455AA5"/>
    <w:rsid w:val="00455C54"/>
    <w:rsid w:val="00460C40"/>
    <w:rsid w:val="00490BF7"/>
    <w:rsid w:val="004C364D"/>
    <w:rsid w:val="004C45E4"/>
    <w:rsid w:val="004C4BA9"/>
    <w:rsid w:val="004E3520"/>
    <w:rsid w:val="00520CFF"/>
    <w:rsid w:val="00532C76"/>
    <w:rsid w:val="00551B92"/>
    <w:rsid w:val="00563C0C"/>
    <w:rsid w:val="00573A2E"/>
    <w:rsid w:val="0058792C"/>
    <w:rsid w:val="005A574C"/>
    <w:rsid w:val="00611289"/>
    <w:rsid w:val="006164DF"/>
    <w:rsid w:val="006246BD"/>
    <w:rsid w:val="00626610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C5596"/>
    <w:rsid w:val="007D6872"/>
    <w:rsid w:val="0080625D"/>
    <w:rsid w:val="0081629C"/>
    <w:rsid w:val="00816C1D"/>
    <w:rsid w:val="008275FF"/>
    <w:rsid w:val="008311CA"/>
    <w:rsid w:val="0085018C"/>
    <w:rsid w:val="00856AD9"/>
    <w:rsid w:val="00863611"/>
    <w:rsid w:val="00871305"/>
    <w:rsid w:val="00885272"/>
    <w:rsid w:val="00887223"/>
    <w:rsid w:val="008A276F"/>
    <w:rsid w:val="008A6856"/>
    <w:rsid w:val="008B2B79"/>
    <w:rsid w:val="008D0BA4"/>
    <w:rsid w:val="008D73C6"/>
    <w:rsid w:val="008E119A"/>
    <w:rsid w:val="008E404E"/>
    <w:rsid w:val="008F44F9"/>
    <w:rsid w:val="009014DA"/>
    <w:rsid w:val="0092115A"/>
    <w:rsid w:val="00922A21"/>
    <w:rsid w:val="009247BA"/>
    <w:rsid w:val="00952906"/>
    <w:rsid w:val="009572E0"/>
    <w:rsid w:val="00986E21"/>
    <w:rsid w:val="0099076D"/>
    <w:rsid w:val="009C2B67"/>
    <w:rsid w:val="009D53D6"/>
    <w:rsid w:val="009D62EF"/>
    <w:rsid w:val="00A06AF1"/>
    <w:rsid w:val="00A1342B"/>
    <w:rsid w:val="00A15877"/>
    <w:rsid w:val="00A55BB8"/>
    <w:rsid w:val="00A67225"/>
    <w:rsid w:val="00A85974"/>
    <w:rsid w:val="00AA153E"/>
    <w:rsid w:val="00AD53A2"/>
    <w:rsid w:val="00AF3073"/>
    <w:rsid w:val="00AF5098"/>
    <w:rsid w:val="00B12D73"/>
    <w:rsid w:val="00B146FB"/>
    <w:rsid w:val="00B21778"/>
    <w:rsid w:val="00B34C0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815E8"/>
    <w:rsid w:val="00C9685F"/>
    <w:rsid w:val="00CA02EF"/>
    <w:rsid w:val="00CA12F5"/>
    <w:rsid w:val="00CA70F1"/>
    <w:rsid w:val="00CC0424"/>
    <w:rsid w:val="00CC6D87"/>
    <w:rsid w:val="00CD188E"/>
    <w:rsid w:val="00CE4423"/>
    <w:rsid w:val="00CE48B5"/>
    <w:rsid w:val="00CF0429"/>
    <w:rsid w:val="00D271AE"/>
    <w:rsid w:val="00D44ED5"/>
    <w:rsid w:val="00D45F67"/>
    <w:rsid w:val="00D50048"/>
    <w:rsid w:val="00D54058"/>
    <w:rsid w:val="00D56E66"/>
    <w:rsid w:val="00D8785F"/>
    <w:rsid w:val="00DD08BD"/>
    <w:rsid w:val="00DD1F31"/>
    <w:rsid w:val="00DD5459"/>
    <w:rsid w:val="00DE6ADF"/>
    <w:rsid w:val="00DF1C98"/>
    <w:rsid w:val="00E2400B"/>
    <w:rsid w:val="00E3609C"/>
    <w:rsid w:val="00E36D22"/>
    <w:rsid w:val="00E521D5"/>
    <w:rsid w:val="00E560DD"/>
    <w:rsid w:val="00E83E96"/>
    <w:rsid w:val="00EA0FD7"/>
    <w:rsid w:val="00ED2990"/>
    <w:rsid w:val="00EE2B91"/>
    <w:rsid w:val="00EE50F1"/>
    <w:rsid w:val="00EE5399"/>
    <w:rsid w:val="00EE5C3E"/>
    <w:rsid w:val="00EE633A"/>
    <w:rsid w:val="00EF248B"/>
    <w:rsid w:val="00F05D5D"/>
    <w:rsid w:val="00F16416"/>
    <w:rsid w:val="00F22DEA"/>
    <w:rsid w:val="00F261F5"/>
    <w:rsid w:val="00F56F58"/>
    <w:rsid w:val="00F65D62"/>
    <w:rsid w:val="00F91FEB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  <w:style w:type="paragraph" w:styleId="NoSpacing">
    <w:name w:val="No Spacing"/>
    <w:uiPriority w:val="1"/>
    <w:qFormat/>
    <w:rsid w:val="00D540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5</cp:revision>
  <cp:lastPrinted>2024-07-17T14:43:00Z</cp:lastPrinted>
  <dcterms:created xsi:type="dcterms:W3CDTF">2026-04-29T15:35:00Z</dcterms:created>
  <dcterms:modified xsi:type="dcterms:W3CDTF">2026-05-04T12:40:00Z</dcterms:modified>
</cp:coreProperties>
</file>