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ABA5" w14:textId="34526F7A" w:rsidR="00A95CDB" w:rsidRPr="00A95CDB" w:rsidRDefault="00A95CDB" w:rsidP="00A95CDB">
      <w:pPr>
        <w:ind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A95CDB">
        <w:rPr>
          <w:rFonts w:eastAsia="Calibri" w:cs="Times New Roman"/>
          <w:b/>
          <w:bCs/>
          <w:kern w:val="0"/>
          <w:szCs w:val="24"/>
          <w14:ligatures w14:val="none"/>
        </w:rPr>
        <w:t>RESOLUTION NO. 2026-4.</w:t>
      </w:r>
      <w:r w:rsidR="00736475">
        <w:rPr>
          <w:rFonts w:eastAsia="Calibri" w:cs="Times New Roman"/>
          <w:b/>
          <w:bCs/>
          <w:kern w:val="0"/>
          <w:szCs w:val="24"/>
          <w14:ligatures w14:val="none"/>
        </w:rPr>
        <w:t>5</w:t>
      </w:r>
    </w:p>
    <w:p w14:paraId="0ABEA84B" w14:textId="77777777" w:rsidR="00A95CDB" w:rsidRPr="00A95CDB" w:rsidRDefault="00A95CDB" w:rsidP="00A95CDB">
      <w:pPr>
        <w:ind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A95CDB">
        <w:rPr>
          <w:rFonts w:eastAsia="Calibri" w:cs="Times New Roman"/>
          <w:b/>
          <w:bCs/>
          <w:kern w:val="0"/>
          <w:szCs w:val="24"/>
          <w14:ligatures w14:val="none"/>
        </w:rPr>
        <w:t>OF THE GOVERNING BODY OF</w:t>
      </w:r>
    </w:p>
    <w:p w14:paraId="4F4B066F" w14:textId="77777777" w:rsidR="00A95CDB" w:rsidRPr="00A95CDB" w:rsidRDefault="00A95CDB" w:rsidP="00A95CDB">
      <w:pPr>
        <w:ind w:right="720"/>
        <w:jc w:val="center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A95CDB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THE BOROUGH OF BLOOMINGDALE</w:t>
      </w:r>
    </w:p>
    <w:p w14:paraId="42828CE7" w14:textId="77777777" w:rsidR="00A95CDB" w:rsidRDefault="00A95CDB" w:rsidP="0032746A">
      <w:pPr>
        <w:rPr>
          <w:b/>
          <w:bCs/>
        </w:rPr>
      </w:pPr>
    </w:p>
    <w:p w14:paraId="60F83EAB" w14:textId="0BCA96D6" w:rsidR="0032746A" w:rsidRDefault="0032746A" w:rsidP="0032746A">
      <w:pPr>
        <w:rPr>
          <w:b/>
          <w:bCs/>
        </w:rPr>
      </w:pPr>
      <w:r w:rsidRPr="0032746A">
        <w:rPr>
          <w:b/>
          <w:bCs/>
        </w:rPr>
        <w:t>RESOLUTION APPROVING PLACE-TO-PLACE EXPANSION APPLICATION FOR PLENARY RETAIL CONSUMPTION LICENSE NO. 1601-33-007-014</w:t>
      </w:r>
      <w:r w:rsidR="00A95CDB">
        <w:rPr>
          <w:b/>
          <w:bCs/>
        </w:rPr>
        <w:t xml:space="preserve"> </w:t>
      </w:r>
      <w:r w:rsidRPr="0032746A">
        <w:rPr>
          <w:b/>
          <w:bCs/>
        </w:rPr>
        <w:t>LICENSEE: ALIJA GROUP LLC</w:t>
      </w:r>
    </w:p>
    <w:p w14:paraId="11DA6E96" w14:textId="77777777" w:rsidR="00A95CDB" w:rsidRPr="0032746A" w:rsidRDefault="00A95CDB" w:rsidP="0032746A"/>
    <w:p w14:paraId="2E890BE0" w14:textId="14BEDB5B" w:rsidR="0032746A" w:rsidRDefault="0032746A" w:rsidP="00873ED9">
      <w:pPr>
        <w:jc w:val="both"/>
      </w:pPr>
      <w:proofErr w:type="gramStart"/>
      <w:r w:rsidRPr="0032746A">
        <w:rPr>
          <w:b/>
          <w:bCs/>
        </w:rPr>
        <w:t>WHEREAS</w:t>
      </w:r>
      <w:r w:rsidRPr="0032746A">
        <w:t>,</w:t>
      </w:r>
      <w:proofErr w:type="gramEnd"/>
      <w:r w:rsidRPr="0032746A">
        <w:t xml:space="preserve"> Alija Group LLC (the “Licensee”) is the holder of Plenary Retail Consumption License No. 1601-33-007-014 </w:t>
      </w:r>
      <w:r w:rsidR="00A95CDB">
        <w:t>for premises located at 60/60A Main S</w:t>
      </w:r>
      <w:r w:rsidR="00873ED9">
        <w:t>treet</w:t>
      </w:r>
      <w:r w:rsidRPr="0032746A">
        <w:t>; and</w:t>
      </w:r>
    </w:p>
    <w:p w14:paraId="5B285B3D" w14:textId="77777777" w:rsidR="00A95CDB" w:rsidRPr="0032746A" w:rsidRDefault="00A95CDB" w:rsidP="00873ED9">
      <w:pPr>
        <w:jc w:val="both"/>
      </w:pPr>
    </w:p>
    <w:p w14:paraId="5A995D7A" w14:textId="77777777" w:rsidR="0032746A" w:rsidRDefault="0032746A" w:rsidP="00873ED9">
      <w:pPr>
        <w:jc w:val="both"/>
      </w:pPr>
      <w:r w:rsidRPr="0032746A">
        <w:rPr>
          <w:b/>
          <w:bCs/>
        </w:rPr>
        <w:t>WHEREAS</w:t>
      </w:r>
      <w:r w:rsidRPr="0032746A">
        <w:t xml:space="preserve">, the Licensee has </w:t>
      </w:r>
      <w:proofErr w:type="gramStart"/>
      <w:r w:rsidRPr="0032746A">
        <w:t>submitted an application</w:t>
      </w:r>
      <w:proofErr w:type="gramEnd"/>
      <w:r w:rsidRPr="0032746A">
        <w:t xml:space="preserve"> for a place-to-place expansion of the licensed premises pursuant to applicable New Jersey statutes and regulations, including </w:t>
      </w:r>
      <w:proofErr w:type="spellStart"/>
      <w:r w:rsidRPr="0032746A">
        <w:t>N.J.S.A</w:t>
      </w:r>
      <w:proofErr w:type="spellEnd"/>
      <w:r w:rsidRPr="0032746A">
        <w:t>. 33:1-1 et seq. and N.J.A.C. 13:2-7.1 et seq.; and</w:t>
      </w:r>
    </w:p>
    <w:p w14:paraId="7D3CD563" w14:textId="77777777" w:rsidR="00A95CDB" w:rsidRPr="0032746A" w:rsidRDefault="00A95CDB" w:rsidP="00873ED9">
      <w:pPr>
        <w:jc w:val="both"/>
      </w:pPr>
    </w:p>
    <w:p w14:paraId="48A3E7A3" w14:textId="4C98CC01" w:rsidR="0032746A" w:rsidRDefault="0032746A" w:rsidP="00873ED9">
      <w:pPr>
        <w:jc w:val="both"/>
      </w:pPr>
      <w:r w:rsidRPr="00873ED9">
        <w:rPr>
          <w:b/>
          <w:bCs/>
        </w:rPr>
        <w:t>WHEREAS</w:t>
      </w:r>
      <w:r w:rsidRPr="0032746A">
        <w:t xml:space="preserve">, the proposed expansion premises are located at </w:t>
      </w:r>
      <w:r w:rsidR="00873ED9">
        <w:t>58 Main Street,</w:t>
      </w:r>
      <w:r w:rsidRPr="0032746A">
        <w:t xml:space="preserve"> and are contiguous to or otherwise meet the statutory and regulatory requirements for expansion of the currently licensed premises; and</w:t>
      </w:r>
    </w:p>
    <w:p w14:paraId="069AC373" w14:textId="77777777" w:rsidR="00873ED9" w:rsidRPr="0032746A" w:rsidRDefault="00873ED9" w:rsidP="00873ED9">
      <w:pPr>
        <w:jc w:val="both"/>
      </w:pPr>
    </w:p>
    <w:p w14:paraId="52FA3BA5" w14:textId="4885CB0D" w:rsidR="0032746A" w:rsidRDefault="0032746A" w:rsidP="00873ED9">
      <w:pPr>
        <w:jc w:val="both"/>
      </w:pPr>
      <w:r w:rsidRPr="00873ED9">
        <w:rPr>
          <w:b/>
          <w:bCs/>
        </w:rPr>
        <w:t>WHEREAS</w:t>
      </w:r>
      <w:r w:rsidRPr="0032746A">
        <w:t xml:space="preserve">, proper notice of the application has been provided in accordance with law, and no </w:t>
      </w:r>
      <w:r w:rsidR="00873ED9" w:rsidRPr="0032746A">
        <w:t>objections have</w:t>
      </w:r>
      <w:r w:rsidRPr="0032746A">
        <w:t xml:space="preserve"> been received; and</w:t>
      </w:r>
    </w:p>
    <w:p w14:paraId="55D352CF" w14:textId="77777777" w:rsidR="00873ED9" w:rsidRPr="0032746A" w:rsidRDefault="00873ED9" w:rsidP="00873ED9">
      <w:pPr>
        <w:jc w:val="both"/>
      </w:pPr>
    </w:p>
    <w:p w14:paraId="64CF0434" w14:textId="226DA5DE" w:rsidR="0032746A" w:rsidRDefault="0032746A" w:rsidP="00873ED9">
      <w:pPr>
        <w:jc w:val="both"/>
      </w:pPr>
      <w:r w:rsidRPr="00873ED9">
        <w:rPr>
          <w:b/>
          <w:bCs/>
        </w:rPr>
        <w:t>WHEREAS</w:t>
      </w:r>
      <w:r w:rsidRPr="0032746A">
        <w:t xml:space="preserve">, the Municipal </w:t>
      </w:r>
      <w:r w:rsidR="00873ED9">
        <w:t>Issuing Authority</w:t>
      </w:r>
      <w:r w:rsidRPr="0032746A">
        <w:t xml:space="preserve"> has reviewed the application, supporting documents, and any reports or recommendations from municipal officials, including but not limited to the Police Department, Fire Department,</w:t>
      </w:r>
      <w:r w:rsidR="00873ED9">
        <w:t xml:space="preserve"> Health Department</w:t>
      </w:r>
      <w:r w:rsidRPr="0032746A">
        <w:t xml:space="preserve"> and Building Department; and</w:t>
      </w:r>
    </w:p>
    <w:p w14:paraId="5025D46E" w14:textId="77777777" w:rsidR="00873ED9" w:rsidRPr="0032746A" w:rsidRDefault="00873ED9" w:rsidP="00873ED9">
      <w:pPr>
        <w:jc w:val="both"/>
      </w:pPr>
    </w:p>
    <w:p w14:paraId="74E121DE" w14:textId="77777777" w:rsidR="0032746A" w:rsidRDefault="0032746A" w:rsidP="00873ED9">
      <w:pPr>
        <w:jc w:val="both"/>
      </w:pPr>
      <w:proofErr w:type="gramStart"/>
      <w:r w:rsidRPr="00873ED9">
        <w:rPr>
          <w:b/>
          <w:bCs/>
        </w:rPr>
        <w:t>WHEREAS</w:t>
      </w:r>
      <w:r w:rsidRPr="0032746A">
        <w:t>,</w:t>
      </w:r>
      <w:proofErr w:type="gramEnd"/>
      <w:r w:rsidRPr="0032746A">
        <w:t xml:space="preserve"> the Governing Body finds that the approval of the place-to-place expansion is not contrary to the public interest and will not adversely affect the health, safety, and welfare of the </w:t>
      </w:r>
      <w:proofErr w:type="gramStart"/>
      <w:r w:rsidRPr="0032746A">
        <w:t>community;</w:t>
      </w:r>
      <w:proofErr w:type="gramEnd"/>
    </w:p>
    <w:p w14:paraId="66C0BCA9" w14:textId="77777777" w:rsidR="00873ED9" w:rsidRPr="0032746A" w:rsidRDefault="00873ED9" w:rsidP="00873ED9">
      <w:pPr>
        <w:jc w:val="both"/>
      </w:pPr>
    </w:p>
    <w:p w14:paraId="7BDD3FD3" w14:textId="2E256D7E" w:rsidR="0032746A" w:rsidRDefault="0032746A" w:rsidP="00873ED9">
      <w:pPr>
        <w:jc w:val="both"/>
      </w:pPr>
      <w:r w:rsidRPr="00736475">
        <w:rPr>
          <w:b/>
          <w:bCs/>
        </w:rPr>
        <w:t xml:space="preserve">NOW, THEREFORE, </w:t>
      </w:r>
      <w:proofErr w:type="gramStart"/>
      <w:r w:rsidRPr="00736475">
        <w:rPr>
          <w:b/>
          <w:bCs/>
        </w:rPr>
        <w:t>BE IT</w:t>
      </w:r>
      <w:proofErr w:type="gramEnd"/>
      <w:r w:rsidRPr="00736475">
        <w:rPr>
          <w:b/>
          <w:bCs/>
        </w:rPr>
        <w:t xml:space="preserve"> RESOLVED</w:t>
      </w:r>
      <w:r w:rsidRPr="0032746A">
        <w:t xml:space="preserve"> by the Governing Body of the</w:t>
      </w:r>
      <w:r w:rsidR="00736475">
        <w:t xml:space="preserve"> </w:t>
      </w:r>
      <w:r w:rsidR="00873ED9">
        <w:t xml:space="preserve">Borough of Bloomingdale, </w:t>
      </w:r>
      <w:r w:rsidRPr="0032746A">
        <w:t>County of</w:t>
      </w:r>
      <w:r w:rsidR="00873ED9">
        <w:t xml:space="preserve"> Passaic, </w:t>
      </w:r>
      <w:r w:rsidRPr="0032746A">
        <w:t>State of New Jersey, as follows:</w:t>
      </w:r>
    </w:p>
    <w:p w14:paraId="0707B625" w14:textId="77777777" w:rsidR="00873ED9" w:rsidRPr="0032746A" w:rsidRDefault="00873ED9" w:rsidP="00873ED9">
      <w:pPr>
        <w:jc w:val="both"/>
      </w:pPr>
    </w:p>
    <w:p w14:paraId="71E67D5B" w14:textId="5B129A02" w:rsidR="0032746A" w:rsidRDefault="0032746A" w:rsidP="00873ED9">
      <w:pPr>
        <w:numPr>
          <w:ilvl w:val="0"/>
          <w:numId w:val="1"/>
        </w:numPr>
        <w:jc w:val="both"/>
      </w:pPr>
      <w:r w:rsidRPr="00873ED9">
        <w:t>The application of Alija Group LLC for a place-to-place</w:t>
      </w:r>
      <w:r w:rsidR="00873ED9">
        <w:t xml:space="preserve"> </w:t>
      </w:r>
      <w:r w:rsidRPr="00873ED9">
        <w:t>expansion of Plenary Retail Consumption License No. 1601-33-007-014 is hereby approved.</w:t>
      </w:r>
    </w:p>
    <w:p w14:paraId="596BB22D" w14:textId="77777777" w:rsidR="00736475" w:rsidRPr="00873ED9" w:rsidRDefault="00736475" w:rsidP="00736475">
      <w:pPr>
        <w:ind w:left="720"/>
        <w:jc w:val="both"/>
      </w:pPr>
    </w:p>
    <w:p w14:paraId="32640811" w14:textId="73AB1258" w:rsidR="0032746A" w:rsidRDefault="0032746A" w:rsidP="00873ED9">
      <w:pPr>
        <w:numPr>
          <w:ilvl w:val="0"/>
          <w:numId w:val="1"/>
        </w:numPr>
        <w:jc w:val="both"/>
      </w:pPr>
      <w:r w:rsidRPr="00873ED9">
        <w:t>The licensed premises, as expanded, shall include the area described in the application and depicted on the plans submitted to the Municipality and approved by the appropriate authorities.</w:t>
      </w:r>
    </w:p>
    <w:p w14:paraId="5EB28901" w14:textId="77777777" w:rsidR="00736475" w:rsidRPr="00873ED9" w:rsidRDefault="00736475" w:rsidP="00736475">
      <w:pPr>
        <w:jc w:val="both"/>
      </w:pPr>
    </w:p>
    <w:p w14:paraId="42963F54" w14:textId="04EBAF16" w:rsidR="0032746A" w:rsidRPr="00873ED9" w:rsidRDefault="0032746A" w:rsidP="00873ED9">
      <w:pPr>
        <w:numPr>
          <w:ilvl w:val="0"/>
          <w:numId w:val="1"/>
        </w:numPr>
        <w:jc w:val="both"/>
      </w:pPr>
      <w:r w:rsidRPr="00873ED9">
        <w:t>This approval is subject to the following conditions:</w:t>
      </w:r>
    </w:p>
    <w:p w14:paraId="07B40F3B" w14:textId="77777777" w:rsidR="00873ED9" w:rsidRDefault="0032746A" w:rsidP="00873ED9">
      <w:pPr>
        <w:pStyle w:val="ListParagraph"/>
        <w:numPr>
          <w:ilvl w:val="0"/>
          <w:numId w:val="2"/>
        </w:numPr>
        <w:jc w:val="both"/>
      </w:pPr>
      <w:r w:rsidRPr="00873ED9">
        <w:t xml:space="preserve">Compliance with all applicable federal, state, and local laws, rules, and </w:t>
      </w:r>
      <w:proofErr w:type="gramStart"/>
      <w:r w:rsidRPr="00873ED9">
        <w:t>regulations;</w:t>
      </w:r>
      <w:proofErr w:type="gramEnd"/>
    </w:p>
    <w:p w14:paraId="70DAA56B" w14:textId="408AA10B" w:rsidR="00873ED9" w:rsidRDefault="00736475" w:rsidP="00873ED9">
      <w:pPr>
        <w:pStyle w:val="ListParagraph"/>
        <w:numPr>
          <w:ilvl w:val="0"/>
          <w:numId w:val="2"/>
        </w:numPr>
        <w:jc w:val="both"/>
      </w:pPr>
      <w:r>
        <w:t>A</w:t>
      </w:r>
      <w:r w:rsidR="0032746A" w:rsidRPr="00873ED9">
        <w:t>ll necessary</w:t>
      </w:r>
      <w:r w:rsidR="0032746A" w:rsidRPr="0032746A">
        <w:t xml:space="preserve"> construction, zoning, fire, and health approvals prior to </w:t>
      </w:r>
      <w:r w:rsidRPr="0032746A">
        <w:t>occupying</w:t>
      </w:r>
      <w:r w:rsidR="0032746A" w:rsidRPr="0032746A">
        <w:t xml:space="preserve"> the expanded area</w:t>
      </w:r>
    </w:p>
    <w:p w14:paraId="0039E50D" w14:textId="6714E905" w:rsidR="0032746A" w:rsidRDefault="0032746A" w:rsidP="00873ED9">
      <w:pPr>
        <w:numPr>
          <w:ilvl w:val="0"/>
          <w:numId w:val="1"/>
        </w:numPr>
        <w:jc w:val="both"/>
      </w:pPr>
      <w:r w:rsidRPr="0032746A">
        <w:lastRenderedPageBreak/>
        <w:t>The Municipal Clerk is hereby authorized to endorse the license certificate to reflect the approved expansion upon satisfaction of all conditions.</w:t>
      </w:r>
    </w:p>
    <w:p w14:paraId="75DEDA0F" w14:textId="77777777" w:rsidR="00736475" w:rsidRDefault="00736475" w:rsidP="00736475">
      <w:pPr>
        <w:ind w:left="720"/>
        <w:jc w:val="both"/>
      </w:pPr>
    </w:p>
    <w:p w14:paraId="6D77403C" w14:textId="326109CB" w:rsidR="00736475" w:rsidRDefault="00736475" w:rsidP="00873ED9">
      <w:pPr>
        <w:numPr>
          <w:ilvl w:val="0"/>
          <w:numId w:val="1"/>
        </w:numPr>
        <w:jc w:val="both"/>
      </w:pPr>
      <w:r>
        <w:t>Effective date of approval shall be April 7, 2026.</w:t>
      </w:r>
    </w:p>
    <w:p w14:paraId="4F758816" w14:textId="77777777" w:rsidR="00736475" w:rsidRDefault="00736475" w:rsidP="00736475">
      <w:pPr>
        <w:ind w:left="720"/>
        <w:jc w:val="both"/>
      </w:pPr>
    </w:p>
    <w:p w14:paraId="4BE581E6" w14:textId="455A01EA" w:rsidR="00AB452B" w:rsidRDefault="0032746A" w:rsidP="00736475">
      <w:pPr>
        <w:jc w:val="both"/>
      </w:pPr>
      <w:r w:rsidRPr="0032746A">
        <w:t xml:space="preserve">BE IT FURTHER RESOLVED </w:t>
      </w:r>
      <w:r w:rsidR="00736475" w:rsidRPr="0032746A">
        <w:t>THAT</w:t>
      </w:r>
      <w:r w:rsidRPr="0032746A">
        <w:t xml:space="preserve"> a certified copy of this Resolution shall be forwarded to the New Jersey Division of Alcoholic Beverage Control.</w:t>
      </w:r>
    </w:p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5D92"/>
    <w:multiLevelType w:val="multilevel"/>
    <w:tmpl w:val="0492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8175E"/>
    <w:multiLevelType w:val="hybridMultilevel"/>
    <w:tmpl w:val="6F7C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8457925">
    <w:abstractNumId w:val="0"/>
  </w:num>
  <w:num w:numId="2" w16cid:durableId="54775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6A"/>
    <w:rsid w:val="000C3590"/>
    <w:rsid w:val="00271A39"/>
    <w:rsid w:val="0032746A"/>
    <w:rsid w:val="00355B93"/>
    <w:rsid w:val="005C5E4B"/>
    <w:rsid w:val="00736475"/>
    <w:rsid w:val="00873ED9"/>
    <w:rsid w:val="00A95CDB"/>
    <w:rsid w:val="00AB452B"/>
    <w:rsid w:val="00C0165C"/>
    <w:rsid w:val="00D61605"/>
    <w:rsid w:val="00E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E178"/>
  <w15:chartTrackingRefBased/>
  <w15:docId w15:val="{B96AB2EA-D938-4611-96BC-6029967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4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4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4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4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4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4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4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4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4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4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4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4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4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2138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2026-03-25T19:04:00Z</dcterms:created>
  <dcterms:modified xsi:type="dcterms:W3CDTF">2026-04-01T16:57:00Z</dcterms:modified>
</cp:coreProperties>
</file>