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8D87" w14:textId="0E000E7C" w:rsidR="00E43473" w:rsidRDefault="00E43473" w:rsidP="00E43473">
      <w:pPr>
        <w:pStyle w:val="BodyText"/>
        <w:kinsoku w:val="0"/>
        <w:overflowPunct w:val="0"/>
        <w:spacing w:before="140" w:line="262" w:lineRule="auto"/>
        <w:ind w:left="838" w:right="165"/>
        <w:jc w:val="center"/>
        <w:rPr>
          <w:b/>
          <w:bCs/>
          <w:w w:val="105"/>
          <w:sz w:val="24"/>
          <w:szCs w:val="24"/>
        </w:rPr>
      </w:pPr>
      <w:r>
        <w:rPr>
          <w:b/>
          <w:bCs/>
          <w:w w:val="105"/>
          <w:sz w:val="24"/>
          <w:szCs w:val="24"/>
        </w:rPr>
        <w:t>RESOLUTION NO. 20</w:t>
      </w:r>
      <w:r w:rsidR="00D0040D">
        <w:rPr>
          <w:b/>
          <w:bCs/>
          <w:w w:val="105"/>
          <w:sz w:val="24"/>
          <w:szCs w:val="24"/>
        </w:rPr>
        <w:t>2</w:t>
      </w:r>
      <w:r w:rsidR="00E743DB">
        <w:rPr>
          <w:b/>
          <w:bCs/>
          <w:w w:val="105"/>
          <w:sz w:val="24"/>
          <w:szCs w:val="24"/>
        </w:rPr>
        <w:t>5-</w:t>
      </w:r>
      <w:proofErr w:type="gramStart"/>
      <w:r w:rsidR="00332F00">
        <w:rPr>
          <w:b/>
          <w:bCs/>
          <w:w w:val="105"/>
          <w:sz w:val="24"/>
          <w:szCs w:val="24"/>
        </w:rPr>
        <w:t>9._</w:t>
      </w:r>
      <w:proofErr w:type="gramEnd"/>
      <w:r w:rsidR="00332F00">
        <w:rPr>
          <w:b/>
          <w:bCs/>
          <w:w w:val="105"/>
          <w:sz w:val="24"/>
          <w:szCs w:val="24"/>
        </w:rPr>
        <w:t>_</w:t>
      </w:r>
      <w:r>
        <w:rPr>
          <w:b/>
          <w:bCs/>
          <w:w w:val="105"/>
          <w:sz w:val="24"/>
          <w:szCs w:val="24"/>
        </w:rPr>
        <w:b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14:paraId="49CA4CE8" w14:textId="4B0D193F" w:rsidR="001307D5" w:rsidRPr="00235A65" w:rsidRDefault="00E43473" w:rsidP="001307D5">
      <w:pPr>
        <w:ind w:left="720" w:right="720"/>
        <w:jc w:val="both"/>
        <w:rPr>
          <w:b/>
        </w:rPr>
      </w:pPr>
      <w:r w:rsidRPr="00E8145D">
        <w:rPr>
          <w:b/>
          <w:caps/>
          <w:szCs w:val="22"/>
        </w:rPr>
        <w:t xml:space="preserve">RESOLUTION </w:t>
      </w:r>
      <w:r w:rsidR="001307D5">
        <w:rPr>
          <w:b/>
          <w:caps/>
          <w:szCs w:val="22"/>
        </w:rPr>
        <w:t xml:space="preserve">AUTHORIZING </w:t>
      </w:r>
      <w:r w:rsidR="00332F00">
        <w:rPr>
          <w:b/>
          <w:caps/>
          <w:szCs w:val="22"/>
        </w:rPr>
        <w:t>A</w:t>
      </w:r>
      <w:r w:rsidR="001307D5">
        <w:rPr>
          <w:b/>
          <w:caps/>
          <w:szCs w:val="22"/>
        </w:rPr>
        <w:t xml:space="preserve"> </w:t>
      </w:r>
      <w:r w:rsidR="001307D5" w:rsidRPr="00235A65">
        <w:rPr>
          <w:b/>
        </w:rPr>
        <w:t xml:space="preserve">SHARED SERVICE AGREEMENT FOR </w:t>
      </w:r>
      <w:r w:rsidR="00332F00">
        <w:rPr>
          <w:b/>
        </w:rPr>
        <w:t xml:space="preserve">THE USE OF MUNICIPAL COURT </w:t>
      </w:r>
      <w:r w:rsidR="002200E3">
        <w:rPr>
          <w:b/>
        </w:rPr>
        <w:t xml:space="preserve">FACILITY </w:t>
      </w:r>
      <w:r w:rsidR="00332F00">
        <w:rPr>
          <w:b/>
        </w:rPr>
        <w:t xml:space="preserve">IN THE EVENT OF AN EMERGENCY </w:t>
      </w:r>
      <w:r w:rsidR="001307D5">
        <w:rPr>
          <w:b/>
        </w:rPr>
        <w:t xml:space="preserve">BETWEEN </w:t>
      </w:r>
      <w:r w:rsidR="001307D5" w:rsidRPr="00235A65">
        <w:rPr>
          <w:b/>
        </w:rPr>
        <w:t xml:space="preserve">THE BOROUGH OF </w:t>
      </w:r>
      <w:r w:rsidR="001307D5">
        <w:rPr>
          <w:b/>
        </w:rPr>
        <w:t xml:space="preserve">POMPTON LAKES </w:t>
      </w:r>
      <w:r w:rsidR="001307D5" w:rsidRPr="00235A65">
        <w:rPr>
          <w:b/>
        </w:rPr>
        <w:t>AND THE BOROUGH OF BLOOMINGDALE</w:t>
      </w:r>
    </w:p>
    <w:p w14:paraId="70F54A74" w14:textId="77777777" w:rsidR="001307D5" w:rsidRDefault="001307D5" w:rsidP="00BD662D">
      <w:pPr>
        <w:ind w:left="720" w:right="720"/>
        <w:jc w:val="both"/>
        <w:rPr>
          <w:b/>
          <w:caps/>
          <w:szCs w:val="22"/>
        </w:rPr>
      </w:pPr>
    </w:p>
    <w:p w14:paraId="5E6C894E" w14:textId="77777777" w:rsidR="00332F00" w:rsidRPr="002200E3" w:rsidRDefault="0070453C" w:rsidP="002200E3">
      <w:pPr>
        <w:pStyle w:val="BodyText"/>
        <w:kinsoku w:val="0"/>
        <w:overflowPunct w:val="0"/>
        <w:spacing w:before="140"/>
        <w:ind w:left="0" w:right="165"/>
        <w:jc w:val="both"/>
        <w:rPr>
          <w:b/>
          <w:bCs/>
          <w:w w:val="105"/>
          <w:sz w:val="24"/>
          <w:szCs w:val="24"/>
        </w:rPr>
      </w:pPr>
      <w:r>
        <w:rPr>
          <w:b/>
          <w:bCs/>
          <w:w w:val="105"/>
          <w:sz w:val="24"/>
          <w:szCs w:val="24"/>
        </w:rPr>
        <w:t xml:space="preserve"> </w:t>
      </w:r>
      <w:r>
        <w:rPr>
          <w:b/>
          <w:bCs/>
          <w:w w:val="105"/>
          <w:sz w:val="24"/>
          <w:szCs w:val="24"/>
        </w:rPr>
        <w:tab/>
      </w:r>
      <w:r w:rsidR="00332F00" w:rsidRPr="002200E3">
        <w:rPr>
          <w:b/>
          <w:bCs/>
          <w:w w:val="105"/>
          <w:sz w:val="24"/>
          <w:szCs w:val="24"/>
        </w:rPr>
        <w:t xml:space="preserve">WHEREAS, </w:t>
      </w:r>
      <w:r w:rsidR="00332F00" w:rsidRPr="002200E3">
        <w:rPr>
          <w:w w:val="105"/>
          <w:sz w:val="24"/>
          <w:szCs w:val="24"/>
        </w:rPr>
        <w:t xml:space="preserve">the Uniform Shared Services and Consolidation Act, </w:t>
      </w:r>
      <w:proofErr w:type="spellStart"/>
      <w:r w:rsidR="00332F00" w:rsidRPr="002200E3">
        <w:rPr>
          <w:w w:val="105"/>
          <w:sz w:val="24"/>
          <w:szCs w:val="24"/>
        </w:rPr>
        <w:t>N.J.S.A</w:t>
      </w:r>
      <w:proofErr w:type="spellEnd"/>
      <w:r w:rsidR="00332F00" w:rsidRPr="002200E3">
        <w:rPr>
          <w:w w:val="105"/>
          <w:sz w:val="24"/>
          <w:szCs w:val="24"/>
        </w:rPr>
        <w:t>. 40A:65-1 et seq. (the “Act"), authorizes local units of this State to enter into an agreement with any other local unit or units to provide or receive any service that each local unit participating in the agreement is empowered to provide or receive in its own jurisdiction; and</w:t>
      </w:r>
    </w:p>
    <w:p w14:paraId="7D64E980" w14:textId="025FA436" w:rsidR="00332F00" w:rsidRPr="002200E3" w:rsidRDefault="00332F00" w:rsidP="002200E3">
      <w:pPr>
        <w:pStyle w:val="BodyText"/>
        <w:kinsoku w:val="0"/>
        <w:overflowPunct w:val="0"/>
        <w:spacing w:before="140"/>
        <w:ind w:left="0" w:right="165" w:firstLine="720"/>
        <w:jc w:val="both"/>
        <w:rPr>
          <w:b/>
          <w:bCs/>
          <w:w w:val="105"/>
          <w:sz w:val="24"/>
          <w:szCs w:val="24"/>
        </w:rPr>
      </w:pPr>
      <w:r w:rsidRPr="002200E3">
        <w:rPr>
          <w:b/>
          <w:bCs/>
          <w:w w:val="105"/>
          <w:sz w:val="24"/>
          <w:szCs w:val="24"/>
        </w:rPr>
        <w:t>WHEREAS,</w:t>
      </w:r>
      <w:r w:rsidRPr="002200E3">
        <w:rPr>
          <w:w w:val="105"/>
          <w:sz w:val="24"/>
          <w:szCs w:val="24"/>
        </w:rPr>
        <w:t xml:space="preserve"> </w:t>
      </w:r>
      <w:r w:rsidR="002200E3" w:rsidRPr="002200E3">
        <w:rPr>
          <w:w w:val="105"/>
          <w:sz w:val="24"/>
          <w:szCs w:val="24"/>
        </w:rPr>
        <w:t>i</w:t>
      </w:r>
      <w:r w:rsidRPr="002200E3">
        <w:rPr>
          <w:w w:val="105"/>
          <w:sz w:val="24"/>
          <w:szCs w:val="24"/>
        </w:rPr>
        <w:t xml:space="preserve">n the event that either municipality is in the emergent need of the services of a municipal court facility to hold and adjudicate its municipal court matters that would typically be held in their own municipal building (the "Services"), the municipalities are willing to assist the other by permitting the municipality to hold its weekly municipal court sessions in the other municipal court room one (1) day per week as long as necessary; and </w:t>
      </w:r>
    </w:p>
    <w:p w14:paraId="07E3D274" w14:textId="7D4961C5" w:rsidR="00332F00" w:rsidRPr="002200E3" w:rsidRDefault="00332F00" w:rsidP="002200E3">
      <w:pPr>
        <w:pStyle w:val="BodyText"/>
        <w:kinsoku w:val="0"/>
        <w:overflowPunct w:val="0"/>
        <w:spacing w:before="140"/>
        <w:ind w:right="165"/>
        <w:jc w:val="both"/>
        <w:rPr>
          <w:b/>
          <w:bCs/>
          <w:w w:val="105"/>
          <w:sz w:val="24"/>
          <w:szCs w:val="24"/>
        </w:rPr>
      </w:pPr>
      <w:r w:rsidRPr="002200E3">
        <w:rPr>
          <w:b/>
          <w:bCs/>
          <w:w w:val="105"/>
          <w:sz w:val="24"/>
          <w:szCs w:val="24"/>
        </w:rPr>
        <w:tab/>
        <w:t xml:space="preserve">WHEREAS, </w:t>
      </w:r>
      <w:r w:rsidRPr="002200E3">
        <w:rPr>
          <w:w w:val="105"/>
          <w:sz w:val="24"/>
          <w:szCs w:val="24"/>
        </w:rPr>
        <w:t>t</w:t>
      </w:r>
      <w:r w:rsidRPr="00332F00">
        <w:rPr>
          <w:w w:val="105"/>
          <w:sz w:val="24"/>
          <w:szCs w:val="24"/>
        </w:rPr>
        <w:t xml:space="preserve">he </w:t>
      </w:r>
      <w:r w:rsidRPr="002200E3">
        <w:rPr>
          <w:w w:val="105"/>
          <w:sz w:val="24"/>
          <w:szCs w:val="24"/>
        </w:rPr>
        <w:t>G</w:t>
      </w:r>
      <w:r w:rsidRPr="00332F00">
        <w:rPr>
          <w:w w:val="105"/>
          <w:sz w:val="24"/>
          <w:szCs w:val="24"/>
        </w:rPr>
        <w:t xml:space="preserve">overning </w:t>
      </w:r>
      <w:r w:rsidRPr="002200E3">
        <w:rPr>
          <w:w w:val="105"/>
          <w:sz w:val="24"/>
          <w:szCs w:val="24"/>
        </w:rPr>
        <w:t>B</w:t>
      </w:r>
      <w:r w:rsidRPr="00332F00">
        <w:rPr>
          <w:w w:val="105"/>
          <w:sz w:val="24"/>
          <w:szCs w:val="24"/>
        </w:rPr>
        <w:t>odies of Pompton Lakes and Bloomingdale have determined that it is in the mutu</w:t>
      </w:r>
      <w:r w:rsidRPr="002200E3">
        <w:rPr>
          <w:w w:val="105"/>
          <w:sz w:val="24"/>
          <w:szCs w:val="24"/>
        </w:rPr>
        <w:t xml:space="preserve">al best interest of each municipality to </w:t>
      </w:r>
      <w:proofErr w:type="gramStart"/>
      <w:r w:rsidRPr="002200E3">
        <w:rPr>
          <w:w w:val="105"/>
          <w:sz w:val="24"/>
          <w:szCs w:val="24"/>
        </w:rPr>
        <w:t>provide the use</w:t>
      </w:r>
      <w:proofErr w:type="gramEnd"/>
      <w:r w:rsidRPr="002200E3">
        <w:rPr>
          <w:w w:val="105"/>
          <w:sz w:val="24"/>
          <w:szCs w:val="24"/>
        </w:rPr>
        <w:t xml:space="preserve"> of the other’s municipal court room.</w:t>
      </w:r>
    </w:p>
    <w:p w14:paraId="6342A198" w14:textId="3C1553FA" w:rsidR="002E5F09" w:rsidRPr="002200E3" w:rsidRDefault="002E5F09" w:rsidP="002200E3">
      <w:pPr>
        <w:pStyle w:val="BodyText"/>
        <w:kinsoku w:val="0"/>
        <w:overflowPunct w:val="0"/>
        <w:spacing w:before="140"/>
        <w:ind w:left="0" w:right="165" w:firstLine="720"/>
        <w:jc w:val="both"/>
        <w:rPr>
          <w:sz w:val="24"/>
          <w:szCs w:val="24"/>
        </w:rPr>
      </w:pPr>
      <w:r w:rsidRPr="002200E3">
        <w:rPr>
          <w:b/>
          <w:sz w:val="24"/>
          <w:szCs w:val="24"/>
        </w:rPr>
        <w:t xml:space="preserve">WHEREAS, </w:t>
      </w:r>
      <w:r w:rsidRPr="002200E3">
        <w:rPr>
          <w:sz w:val="24"/>
          <w:szCs w:val="24"/>
        </w:rPr>
        <w:t xml:space="preserve">said agreement shall be effective for a period of </w:t>
      </w:r>
      <w:r w:rsidR="00E743DB" w:rsidRPr="002200E3">
        <w:rPr>
          <w:sz w:val="24"/>
          <w:szCs w:val="24"/>
        </w:rPr>
        <w:t>one</w:t>
      </w:r>
      <w:r w:rsidRPr="002200E3">
        <w:rPr>
          <w:sz w:val="24"/>
          <w:szCs w:val="24"/>
        </w:rPr>
        <w:t xml:space="preserve"> (</w:t>
      </w:r>
      <w:r w:rsidR="00E743DB" w:rsidRPr="002200E3">
        <w:rPr>
          <w:sz w:val="24"/>
          <w:szCs w:val="24"/>
        </w:rPr>
        <w:t>1</w:t>
      </w:r>
      <w:r w:rsidRPr="002200E3">
        <w:rPr>
          <w:sz w:val="24"/>
          <w:szCs w:val="24"/>
        </w:rPr>
        <w:t xml:space="preserve">) year, commencing on January 1, </w:t>
      </w:r>
      <w:proofErr w:type="gramStart"/>
      <w:r w:rsidRPr="002200E3">
        <w:rPr>
          <w:sz w:val="24"/>
          <w:szCs w:val="24"/>
        </w:rPr>
        <w:t>20</w:t>
      </w:r>
      <w:r w:rsidR="00D0040D" w:rsidRPr="002200E3">
        <w:rPr>
          <w:sz w:val="24"/>
          <w:szCs w:val="24"/>
        </w:rPr>
        <w:t>2</w:t>
      </w:r>
      <w:r w:rsidR="00332F00" w:rsidRPr="002200E3">
        <w:rPr>
          <w:sz w:val="24"/>
          <w:szCs w:val="24"/>
        </w:rPr>
        <w:t>6</w:t>
      </w:r>
      <w:proofErr w:type="gramEnd"/>
      <w:r w:rsidRPr="002200E3">
        <w:rPr>
          <w:sz w:val="24"/>
          <w:szCs w:val="24"/>
        </w:rPr>
        <w:t xml:space="preserve"> and terminating December 31, 202</w:t>
      </w:r>
      <w:r w:rsidR="00332F00" w:rsidRPr="002200E3">
        <w:rPr>
          <w:sz w:val="24"/>
          <w:szCs w:val="24"/>
        </w:rPr>
        <w:t>6</w:t>
      </w:r>
      <w:r w:rsidRPr="002200E3">
        <w:rPr>
          <w:sz w:val="24"/>
          <w:szCs w:val="24"/>
        </w:rPr>
        <w:t>.</w:t>
      </w:r>
      <w:r w:rsidRPr="002200E3">
        <w:rPr>
          <w:b/>
          <w:sz w:val="24"/>
          <w:szCs w:val="24"/>
        </w:rPr>
        <w:t xml:space="preserve">; </w:t>
      </w:r>
      <w:r w:rsidRPr="002200E3">
        <w:rPr>
          <w:sz w:val="24"/>
          <w:szCs w:val="24"/>
        </w:rPr>
        <w:t>and</w:t>
      </w:r>
    </w:p>
    <w:p w14:paraId="0E3E410D" w14:textId="77777777" w:rsidR="00E43473" w:rsidRPr="002200E3" w:rsidRDefault="00E43473" w:rsidP="002200E3">
      <w:pPr>
        <w:pStyle w:val="BodyText"/>
        <w:kinsoku w:val="0"/>
        <w:overflowPunct w:val="0"/>
        <w:spacing w:before="169"/>
        <w:ind w:left="127" w:right="165" w:firstLine="703"/>
        <w:jc w:val="both"/>
        <w:rPr>
          <w:w w:val="105"/>
          <w:sz w:val="24"/>
          <w:szCs w:val="24"/>
          <w:u w:val="single"/>
        </w:rPr>
      </w:pPr>
      <w:r w:rsidRPr="002200E3">
        <w:rPr>
          <w:b/>
          <w:bCs/>
          <w:w w:val="105"/>
          <w:sz w:val="24"/>
          <w:szCs w:val="24"/>
        </w:rPr>
        <w:t>WHEREAS,</w:t>
      </w:r>
      <w:r w:rsidRPr="002200E3">
        <w:rPr>
          <w:b/>
          <w:bCs/>
          <w:spacing w:val="10"/>
          <w:w w:val="105"/>
          <w:sz w:val="24"/>
          <w:szCs w:val="24"/>
        </w:rPr>
        <w:t xml:space="preserve"> </w:t>
      </w:r>
      <w:r w:rsidRPr="002200E3">
        <w:rPr>
          <w:w w:val="105"/>
          <w:sz w:val="24"/>
          <w:szCs w:val="24"/>
        </w:rPr>
        <w:t>execution</w:t>
      </w:r>
      <w:r w:rsidRPr="002200E3">
        <w:rPr>
          <w:spacing w:val="-1"/>
          <w:w w:val="105"/>
          <w:sz w:val="24"/>
          <w:szCs w:val="24"/>
        </w:rPr>
        <w:t xml:space="preserve"> </w:t>
      </w:r>
      <w:r w:rsidRPr="002200E3">
        <w:rPr>
          <w:w w:val="105"/>
          <w:sz w:val="24"/>
          <w:szCs w:val="24"/>
        </w:rPr>
        <w:t>of</w:t>
      </w:r>
      <w:r w:rsidRPr="002200E3">
        <w:rPr>
          <w:spacing w:val="-5"/>
          <w:w w:val="105"/>
          <w:sz w:val="24"/>
          <w:szCs w:val="24"/>
        </w:rPr>
        <w:t xml:space="preserve"> </w:t>
      </w:r>
      <w:r w:rsidRPr="002200E3">
        <w:rPr>
          <w:w w:val="105"/>
          <w:sz w:val="24"/>
          <w:szCs w:val="24"/>
        </w:rPr>
        <w:t>said</w:t>
      </w:r>
      <w:r w:rsidRPr="002200E3">
        <w:rPr>
          <w:spacing w:val="-13"/>
          <w:w w:val="105"/>
          <w:sz w:val="24"/>
          <w:szCs w:val="24"/>
        </w:rPr>
        <w:t xml:space="preserve"> </w:t>
      </w:r>
      <w:r w:rsidRPr="002200E3">
        <w:rPr>
          <w:w w:val="105"/>
          <w:sz w:val="24"/>
          <w:szCs w:val="24"/>
        </w:rPr>
        <w:t>agreement</w:t>
      </w:r>
      <w:r w:rsidRPr="002200E3">
        <w:rPr>
          <w:spacing w:val="-9"/>
          <w:w w:val="105"/>
          <w:sz w:val="24"/>
          <w:szCs w:val="24"/>
        </w:rPr>
        <w:t xml:space="preserve"> </w:t>
      </w:r>
      <w:r w:rsidRPr="002200E3">
        <w:rPr>
          <w:w w:val="105"/>
          <w:sz w:val="24"/>
          <w:szCs w:val="24"/>
        </w:rPr>
        <w:t>is</w:t>
      </w:r>
      <w:r w:rsidRPr="002200E3">
        <w:rPr>
          <w:spacing w:val="-8"/>
          <w:w w:val="105"/>
          <w:sz w:val="24"/>
          <w:szCs w:val="24"/>
        </w:rPr>
        <w:t xml:space="preserve"> </w:t>
      </w:r>
      <w:r w:rsidRPr="002200E3">
        <w:rPr>
          <w:w w:val="105"/>
          <w:sz w:val="24"/>
          <w:szCs w:val="24"/>
        </w:rPr>
        <w:t>authorized</w:t>
      </w:r>
      <w:r w:rsidRPr="002200E3">
        <w:rPr>
          <w:spacing w:val="-7"/>
          <w:w w:val="105"/>
          <w:sz w:val="24"/>
          <w:szCs w:val="24"/>
        </w:rPr>
        <w:t xml:space="preserve"> </w:t>
      </w:r>
      <w:r w:rsidRPr="002200E3">
        <w:rPr>
          <w:w w:val="105"/>
          <w:sz w:val="24"/>
          <w:szCs w:val="24"/>
        </w:rPr>
        <w:t>pursuant</w:t>
      </w:r>
      <w:r w:rsidRPr="002200E3">
        <w:rPr>
          <w:spacing w:val="-1"/>
          <w:w w:val="105"/>
          <w:sz w:val="24"/>
          <w:szCs w:val="24"/>
        </w:rPr>
        <w:t xml:space="preserve"> </w:t>
      </w:r>
      <w:r w:rsidRPr="002200E3">
        <w:rPr>
          <w:w w:val="105"/>
          <w:sz w:val="24"/>
          <w:szCs w:val="24"/>
        </w:rPr>
        <w:t>to</w:t>
      </w:r>
      <w:r w:rsidRPr="002200E3">
        <w:rPr>
          <w:spacing w:val="-9"/>
          <w:w w:val="105"/>
          <w:sz w:val="24"/>
          <w:szCs w:val="24"/>
        </w:rPr>
        <w:t xml:space="preserve"> </w:t>
      </w:r>
      <w:r w:rsidRPr="002200E3">
        <w:rPr>
          <w:w w:val="105"/>
          <w:sz w:val="24"/>
          <w:szCs w:val="24"/>
        </w:rPr>
        <w:t>the</w:t>
      </w:r>
      <w:r w:rsidRPr="002200E3">
        <w:rPr>
          <w:spacing w:val="-12"/>
          <w:w w:val="105"/>
          <w:sz w:val="24"/>
          <w:szCs w:val="24"/>
        </w:rPr>
        <w:t xml:space="preserve"> </w:t>
      </w:r>
      <w:r w:rsidRPr="002200E3">
        <w:rPr>
          <w:w w:val="105"/>
          <w:sz w:val="24"/>
          <w:szCs w:val="24"/>
        </w:rPr>
        <w:t>Unif</w:t>
      </w:r>
      <w:r w:rsidRPr="002200E3">
        <w:rPr>
          <w:spacing w:val="10"/>
          <w:w w:val="105"/>
          <w:sz w:val="24"/>
          <w:szCs w:val="24"/>
        </w:rPr>
        <w:t>orm</w:t>
      </w:r>
      <w:r w:rsidRPr="002200E3">
        <w:rPr>
          <w:spacing w:val="3"/>
          <w:w w:val="105"/>
          <w:sz w:val="24"/>
          <w:szCs w:val="24"/>
        </w:rPr>
        <w:t xml:space="preserve"> </w:t>
      </w:r>
      <w:r w:rsidRPr="002200E3">
        <w:rPr>
          <w:w w:val="105"/>
          <w:sz w:val="24"/>
          <w:szCs w:val="24"/>
        </w:rPr>
        <w:t>Shared</w:t>
      </w:r>
      <w:r w:rsidRPr="002200E3">
        <w:rPr>
          <w:w w:val="104"/>
          <w:sz w:val="24"/>
          <w:szCs w:val="24"/>
        </w:rPr>
        <w:t xml:space="preserve"> </w:t>
      </w:r>
      <w:r w:rsidRPr="002200E3">
        <w:rPr>
          <w:w w:val="105"/>
          <w:sz w:val="24"/>
          <w:szCs w:val="24"/>
        </w:rPr>
        <w:t>Services</w:t>
      </w:r>
      <w:r w:rsidRPr="002200E3">
        <w:rPr>
          <w:spacing w:val="2"/>
          <w:w w:val="105"/>
          <w:sz w:val="24"/>
          <w:szCs w:val="24"/>
        </w:rPr>
        <w:t xml:space="preserve"> </w:t>
      </w:r>
      <w:r w:rsidRPr="002200E3">
        <w:rPr>
          <w:w w:val="105"/>
          <w:sz w:val="24"/>
          <w:szCs w:val="24"/>
        </w:rPr>
        <w:t>and</w:t>
      </w:r>
      <w:r w:rsidRPr="002200E3">
        <w:rPr>
          <w:spacing w:val="-6"/>
          <w:w w:val="105"/>
          <w:sz w:val="24"/>
          <w:szCs w:val="24"/>
        </w:rPr>
        <w:t xml:space="preserve"> </w:t>
      </w:r>
      <w:r w:rsidRPr="002200E3">
        <w:rPr>
          <w:w w:val="105"/>
          <w:sz w:val="24"/>
          <w:szCs w:val="24"/>
        </w:rPr>
        <w:t>Consolidation</w:t>
      </w:r>
      <w:r w:rsidRPr="002200E3">
        <w:rPr>
          <w:spacing w:val="4"/>
          <w:w w:val="105"/>
          <w:sz w:val="24"/>
          <w:szCs w:val="24"/>
        </w:rPr>
        <w:t xml:space="preserve"> </w:t>
      </w:r>
      <w:r w:rsidRPr="002200E3">
        <w:rPr>
          <w:w w:val="105"/>
          <w:sz w:val="24"/>
          <w:szCs w:val="24"/>
        </w:rPr>
        <w:t>Act,</w:t>
      </w:r>
      <w:r w:rsidRPr="002200E3">
        <w:rPr>
          <w:spacing w:val="-10"/>
          <w:w w:val="105"/>
          <w:sz w:val="24"/>
          <w:szCs w:val="24"/>
        </w:rPr>
        <w:t xml:space="preserve"> </w:t>
      </w:r>
      <w:r w:rsidRPr="002200E3">
        <w:rPr>
          <w:w w:val="105"/>
          <w:sz w:val="24"/>
          <w:szCs w:val="24"/>
        </w:rPr>
        <w:t>N.J.S.A.</w:t>
      </w:r>
      <w:r w:rsidRPr="002200E3">
        <w:rPr>
          <w:spacing w:val="7"/>
          <w:w w:val="105"/>
          <w:sz w:val="24"/>
          <w:szCs w:val="24"/>
        </w:rPr>
        <w:t xml:space="preserve"> </w:t>
      </w:r>
      <w:r w:rsidRPr="002200E3">
        <w:rPr>
          <w:w w:val="105"/>
          <w:sz w:val="24"/>
          <w:szCs w:val="24"/>
        </w:rPr>
        <w:t>40A:65-1</w:t>
      </w:r>
      <w:r w:rsidRPr="002200E3">
        <w:rPr>
          <w:spacing w:val="-1"/>
          <w:w w:val="105"/>
          <w:sz w:val="24"/>
          <w:szCs w:val="24"/>
        </w:rPr>
        <w:t xml:space="preserve"> </w:t>
      </w:r>
      <w:r w:rsidRPr="002200E3">
        <w:rPr>
          <w:w w:val="105"/>
          <w:sz w:val="24"/>
          <w:szCs w:val="24"/>
        </w:rPr>
        <w:t>et</w:t>
      </w:r>
      <w:r w:rsidRPr="002200E3">
        <w:rPr>
          <w:spacing w:val="-9"/>
          <w:w w:val="105"/>
          <w:sz w:val="24"/>
          <w:szCs w:val="24"/>
        </w:rPr>
        <w:t xml:space="preserve"> </w:t>
      </w:r>
      <w:r w:rsidRPr="002200E3">
        <w:rPr>
          <w:w w:val="105"/>
          <w:sz w:val="24"/>
          <w:szCs w:val="24"/>
        </w:rPr>
        <w:t>seg.</w:t>
      </w:r>
    </w:p>
    <w:p w14:paraId="05525ABB" w14:textId="77777777" w:rsidR="00E43473" w:rsidRPr="002200E3" w:rsidRDefault="00E43473" w:rsidP="002200E3">
      <w:pPr>
        <w:jc w:val="both"/>
      </w:pPr>
    </w:p>
    <w:p w14:paraId="2372D896" w14:textId="3A5EBAFD" w:rsidR="00E43473" w:rsidRPr="002200E3" w:rsidRDefault="00E43473" w:rsidP="002200E3">
      <w:pPr>
        <w:ind w:firstLine="720"/>
        <w:jc w:val="both"/>
        <w:rPr>
          <w:b/>
        </w:rPr>
      </w:pPr>
      <w:r w:rsidRPr="002200E3">
        <w:rPr>
          <w:b/>
        </w:rPr>
        <w:t xml:space="preserve">NOW, THEREFORE, BE IT RESOLVED </w:t>
      </w:r>
      <w:r w:rsidRPr="002200E3">
        <w:t xml:space="preserve">by the Borough Council of the Borough of Bloomingdale, in the County of Passaic, and State of New Jersey that the Mayor and Borough Clerk are hereby authorized to execute an Interlocal Shared Services Agreement with the Borough of </w:t>
      </w:r>
      <w:r w:rsidR="002E5F09" w:rsidRPr="002200E3">
        <w:t>Pompton Lakes</w:t>
      </w:r>
      <w:r w:rsidRPr="002200E3">
        <w:t xml:space="preserve"> for </w:t>
      </w:r>
      <w:r w:rsidR="00332F00" w:rsidRPr="002200E3">
        <w:t xml:space="preserve">the use of municipal court room in the event of an emergency. </w:t>
      </w:r>
    </w:p>
    <w:p w14:paraId="08F41228" w14:textId="77777777" w:rsidR="00E43473" w:rsidRDefault="00E43473"/>
    <w:sectPr w:rsidR="00E43473" w:rsidSect="00AF684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5766" w14:textId="77777777" w:rsidR="00AF6848" w:rsidRDefault="00AF6848" w:rsidP="00AF6848">
      <w:r>
        <w:separator/>
      </w:r>
    </w:p>
  </w:endnote>
  <w:endnote w:type="continuationSeparator" w:id="0">
    <w:p w14:paraId="79D33793" w14:textId="77777777"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CF7F" w14:textId="77777777" w:rsidR="00AF6848" w:rsidRDefault="00AF6848" w:rsidP="00AF6848">
      <w:r>
        <w:separator/>
      </w:r>
    </w:p>
  </w:footnote>
  <w:footnote w:type="continuationSeparator" w:id="0">
    <w:p w14:paraId="38C421D1" w14:textId="77777777" w:rsidR="00AF6848" w:rsidRDefault="00AF6848" w:rsidP="00A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16cid:durableId="101688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3"/>
    <w:rsid w:val="001307D5"/>
    <w:rsid w:val="00141E90"/>
    <w:rsid w:val="002200E3"/>
    <w:rsid w:val="00224043"/>
    <w:rsid w:val="002E5F09"/>
    <w:rsid w:val="00332F00"/>
    <w:rsid w:val="004217A8"/>
    <w:rsid w:val="00563247"/>
    <w:rsid w:val="00652D80"/>
    <w:rsid w:val="006A65EE"/>
    <w:rsid w:val="006E0FDD"/>
    <w:rsid w:val="0070453C"/>
    <w:rsid w:val="007B1E0C"/>
    <w:rsid w:val="009A0E44"/>
    <w:rsid w:val="009F6734"/>
    <w:rsid w:val="00AF6848"/>
    <w:rsid w:val="00B4380D"/>
    <w:rsid w:val="00B82265"/>
    <w:rsid w:val="00BD662D"/>
    <w:rsid w:val="00BE677E"/>
    <w:rsid w:val="00C303C9"/>
    <w:rsid w:val="00C85820"/>
    <w:rsid w:val="00D0040D"/>
    <w:rsid w:val="00DF1C8F"/>
    <w:rsid w:val="00E43473"/>
    <w:rsid w:val="00E743DB"/>
    <w:rsid w:val="00ED6499"/>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99AA"/>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6048">
      <w:bodyDiv w:val="1"/>
      <w:marLeft w:val="0"/>
      <w:marRight w:val="0"/>
      <w:marTop w:val="0"/>
      <w:marBottom w:val="0"/>
      <w:divBdr>
        <w:top w:val="none" w:sz="0" w:space="0" w:color="auto"/>
        <w:left w:val="none" w:sz="0" w:space="0" w:color="auto"/>
        <w:bottom w:val="none" w:sz="0" w:space="0" w:color="auto"/>
        <w:right w:val="none" w:sz="0" w:space="0" w:color="auto"/>
      </w:divBdr>
    </w:div>
    <w:div w:id="6005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4</cp:revision>
  <dcterms:created xsi:type="dcterms:W3CDTF">2025-08-28T01:29:00Z</dcterms:created>
  <dcterms:modified xsi:type="dcterms:W3CDTF">2025-08-28T01:38:00Z</dcterms:modified>
</cp:coreProperties>
</file>