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514E" w14:textId="5DFAF04A"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w:t>
      </w:r>
      <w:r w:rsidR="00225359">
        <w:rPr>
          <w:rFonts w:eastAsia="Times New Roman" w:cs="Times New Roman"/>
          <w:b/>
          <w:bCs/>
          <w:color w:val="000000"/>
          <w:szCs w:val="24"/>
        </w:rPr>
        <w:t>2</w:t>
      </w:r>
      <w:r w:rsidR="00383C3A">
        <w:rPr>
          <w:rFonts w:eastAsia="Times New Roman" w:cs="Times New Roman"/>
          <w:b/>
          <w:bCs/>
          <w:color w:val="000000"/>
          <w:szCs w:val="24"/>
        </w:rPr>
        <w:t>5-</w:t>
      </w:r>
      <w:r w:rsidR="00E43F8C">
        <w:rPr>
          <w:rFonts w:eastAsia="Times New Roman" w:cs="Times New Roman"/>
          <w:b/>
          <w:bCs/>
          <w:color w:val="000000"/>
          <w:szCs w:val="24"/>
        </w:rPr>
        <w:t>5.__</w:t>
      </w:r>
      <w:r w:rsidR="00A4460F">
        <w:rPr>
          <w:rFonts w:eastAsia="Times New Roman" w:cs="Times New Roman"/>
          <w:b/>
          <w:bCs/>
          <w:color w:val="000000"/>
          <w:szCs w:val="24"/>
        </w:rPr>
        <w:b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14:paraId="4D56E8A3" w14:textId="77777777" w:rsidR="00A4460F" w:rsidRDefault="00A4460F" w:rsidP="00870C02">
      <w:pPr>
        <w:spacing w:after="0" w:line="240" w:lineRule="auto"/>
        <w:jc w:val="center"/>
        <w:rPr>
          <w:rFonts w:eastAsia="Times New Roman" w:cs="Times New Roman"/>
          <w:b/>
          <w:bCs/>
          <w:color w:val="000000"/>
          <w:szCs w:val="24"/>
        </w:rPr>
      </w:pPr>
    </w:p>
    <w:p w14:paraId="1A27A41D" w14:textId="1157CAB1" w:rsidR="00A4460F" w:rsidRP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LIQUOR LICENSE TRANSFER OF LICENSE NO. 1601-33-0</w:t>
      </w:r>
      <w:r w:rsidR="00875347">
        <w:rPr>
          <w:rFonts w:eastAsia="Times New Roman" w:cs="Times New Roman"/>
          <w:b/>
          <w:bCs/>
          <w:color w:val="000000"/>
          <w:szCs w:val="24"/>
        </w:rPr>
        <w:t>12</w:t>
      </w:r>
      <w:r>
        <w:rPr>
          <w:rFonts w:eastAsia="Times New Roman" w:cs="Times New Roman"/>
          <w:b/>
          <w:bCs/>
          <w:color w:val="000000"/>
          <w:szCs w:val="24"/>
        </w:rPr>
        <w:t>-0</w:t>
      </w:r>
      <w:r w:rsidR="00E43F8C">
        <w:rPr>
          <w:rFonts w:eastAsia="Times New Roman" w:cs="Times New Roman"/>
          <w:b/>
          <w:bCs/>
          <w:color w:val="000000"/>
          <w:szCs w:val="24"/>
        </w:rPr>
        <w:t>06</w:t>
      </w:r>
      <w:r>
        <w:rPr>
          <w:rFonts w:eastAsia="Times New Roman" w:cs="Times New Roman"/>
          <w:b/>
          <w:bCs/>
          <w:color w:val="000000"/>
          <w:szCs w:val="24"/>
        </w:rPr>
        <w:t xml:space="preserve"> </w:t>
      </w:r>
      <w:r w:rsidRPr="009B6BE0">
        <w:rPr>
          <w:rFonts w:eastAsia="Times New Roman" w:cs="Times New Roman"/>
          <w:b/>
          <w:bCs/>
          <w:color w:val="000000"/>
          <w:szCs w:val="24"/>
        </w:rPr>
        <w:t>FROM</w:t>
      </w:r>
      <w:r w:rsidR="00E43F8C">
        <w:rPr>
          <w:rFonts w:eastAsia="Times New Roman" w:cs="Times New Roman"/>
          <w:b/>
          <w:bCs/>
          <w:color w:val="000000"/>
          <w:szCs w:val="24"/>
        </w:rPr>
        <w:t xml:space="preserve"> SALINA INC. </w:t>
      </w:r>
      <w:r w:rsidRPr="009B6BE0">
        <w:rPr>
          <w:rFonts w:eastAsia="Times New Roman" w:cs="Times New Roman"/>
          <w:b/>
          <w:bCs/>
          <w:color w:val="000000"/>
          <w:szCs w:val="24"/>
        </w:rPr>
        <w:t>(</w:t>
      </w:r>
      <w:r w:rsidR="00E43F8C">
        <w:rPr>
          <w:rFonts w:eastAsia="Times New Roman" w:cs="Times New Roman"/>
          <w:b/>
          <w:bCs/>
          <w:color w:val="000000"/>
          <w:szCs w:val="24"/>
        </w:rPr>
        <w:t>POCKET LICENSE)</w:t>
      </w:r>
      <w:r w:rsidRPr="009B6BE0">
        <w:rPr>
          <w:rFonts w:eastAsia="Times New Roman" w:cs="Times New Roman"/>
          <w:b/>
          <w:bCs/>
          <w:color w:val="000000"/>
          <w:szCs w:val="24"/>
        </w:rPr>
        <w:t xml:space="preserve"> TO </w:t>
      </w:r>
      <w:r w:rsidR="00E43F8C">
        <w:rPr>
          <w:rFonts w:eastAsia="Times New Roman" w:cs="Times New Roman"/>
          <w:b/>
          <w:bCs/>
          <w:color w:val="000000"/>
          <w:szCs w:val="24"/>
        </w:rPr>
        <w:t>SALVATORE A. PAGLIARULO &amp; CARMELA PAGLIARULO</w:t>
      </w:r>
    </w:p>
    <w:p w14:paraId="203D7025" w14:textId="15125BCD" w:rsidR="008E394F" w:rsidRPr="008E394F" w:rsidRDefault="008E394F" w:rsidP="00383C3A">
      <w:pPr>
        <w:spacing w:after="0" w:line="480" w:lineRule="atLeast"/>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w:t>
      </w:r>
      <w:r w:rsidRPr="008E394F">
        <w:rPr>
          <w:rFonts w:eastAsia="Times New Roman" w:cs="Times New Roman"/>
          <w:color w:val="000000"/>
          <w:szCs w:val="24"/>
        </w:rPr>
        <w:t xml:space="preserve">transfer of Plenary Retail Consumption License </w:t>
      </w:r>
      <w:r>
        <w:rPr>
          <w:rFonts w:eastAsia="Times New Roman" w:cs="Times New Roman"/>
          <w:color w:val="000000"/>
          <w:szCs w:val="24"/>
        </w:rPr>
        <w:t>No. 1601-33-0</w:t>
      </w:r>
      <w:r w:rsidR="00875347">
        <w:rPr>
          <w:rFonts w:eastAsia="Times New Roman" w:cs="Times New Roman"/>
          <w:color w:val="000000"/>
          <w:szCs w:val="24"/>
        </w:rPr>
        <w:t>12</w:t>
      </w:r>
      <w:r>
        <w:rPr>
          <w:rFonts w:eastAsia="Times New Roman" w:cs="Times New Roman"/>
          <w:color w:val="000000"/>
          <w:szCs w:val="24"/>
        </w:rPr>
        <w:t>-0</w:t>
      </w:r>
      <w:r w:rsidR="00875347">
        <w:rPr>
          <w:rFonts w:eastAsia="Times New Roman" w:cs="Times New Roman"/>
          <w:color w:val="000000"/>
          <w:szCs w:val="24"/>
        </w:rPr>
        <w:t>06</w:t>
      </w:r>
      <w:r w:rsidRPr="008E394F">
        <w:rPr>
          <w:rFonts w:eastAsia="Times New Roman" w:cs="Times New Roman"/>
          <w:color w:val="000000"/>
          <w:szCs w:val="24"/>
        </w:rPr>
        <w:t>, heretofore issued to</w:t>
      </w:r>
      <w:r w:rsidR="00875347">
        <w:rPr>
          <w:rFonts w:eastAsia="Times New Roman" w:cs="Times New Roman"/>
          <w:color w:val="000000"/>
          <w:szCs w:val="24"/>
        </w:rPr>
        <w:t xml:space="preserve"> SALINA INC. (pocket license / no </w:t>
      </w:r>
      <w:r w:rsidRPr="008E394F">
        <w:rPr>
          <w:rFonts w:eastAsia="Times New Roman" w:cs="Times New Roman"/>
          <w:color w:val="000000"/>
          <w:szCs w:val="24"/>
        </w:rPr>
        <w:t>premises</w:t>
      </w:r>
      <w:r w:rsidR="00875347">
        <w:rPr>
          <w:rFonts w:eastAsia="Times New Roman" w:cs="Times New Roman"/>
          <w:color w:val="000000"/>
          <w:szCs w:val="24"/>
        </w:rPr>
        <w:t>); and</w:t>
      </w:r>
    </w:p>
    <w:p w14:paraId="70040000" w14:textId="77777777" w:rsidR="008E394F" w:rsidRPr="008E394F" w:rsidRDefault="008E394F" w:rsidP="00383C3A">
      <w:pPr>
        <w:spacing w:after="0" w:line="480" w:lineRule="atLeast"/>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14:paraId="6480E18E" w14:textId="77777777" w:rsidR="008E394F" w:rsidRPr="008E394F" w:rsidRDefault="008E394F" w:rsidP="00383C3A">
      <w:pPr>
        <w:spacing w:after="0" w:line="480" w:lineRule="atLeast"/>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14:paraId="3F59F19B" w14:textId="06721F3F" w:rsidR="008E394F" w:rsidRPr="008E394F" w:rsidRDefault="008E394F" w:rsidP="00383C3A">
      <w:pPr>
        <w:spacing w:after="0" w:line="480" w:lineRule="atLeast"/>
        <w:ind w:firstLine="720"/>
        <w:jc w:val="both"/>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ha</w:t>
      </w:r>
      <w:r w:rsidR="00383C3A">
        <w:rPr>
          <w:rFonts w:eastAsia="Times New Roman" w:cs="Times New Roman"/>
          <w:color w:val="000000"/>
          <w:szCs w:val="24"/>
        </w:rPr>
        <w:t>s</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14:paraId="7896AC29" w14:textId="2D33C40E" w:rsidR="008E394F" w:rsidRDefault="008E394F" w:rsidP="00383C3A">
      <w:pPr>
        <w:spacing w:after="0" w:line="480" w:lineRule="atLeast"/>
        <w:ind w:firstLine="720"/>
        <w:jc w:val="both"/>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875347">
        <w:rPr>
          <w:rFonts w:eastAsia="Times New Roman" w:cs="Times New Roman"/>
          <w:color w:val="000000"/>
          <w:szCs w:val="24"/>
        </w:rPr>
        <w:t>May 2</w:t>
      </w:r>
      <w:r w:rsidR="00222985">
        <w:rPr>
          <w:rFonts w:eastAsia="Times New Roman" w:cs="Times New Roman"/>
          <w:color w:val="000000"/>
          <w:szCs w:val="24"/>
        </w:rPr>
        <w:t>6</w:t>
      </w:r>
      <w:r w:rsidR="003A4DE5">
        <w:rPr>
          <w:rFonts w:eastAsia="Times New Roman" w:cs="Times New Roman"/>
          <w:color w:val="000000"/>
          <w:szCs w:val="24"/>
        </w:rPr>
        <w:t>, 2025</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w:t>
      </w:r>
      <w:r w:rsidR="00875347">
        <w:rPr>
          <w:rFonts w:eastAsia="Times New Roman" w:cs="Times New Roman"/>
          <w:color w:val="000000"/>
          <w:szCs w:val="24"/>
        </w:rPr>
        <w:t>12</w:t>
      </w:r>
      <w:r w:rsidR="005F76D0">
        <w:rPr>
          <w:rFonts w:eastAsia="Times New Roman" w:cs="Times New Roman"/>
          <w:color w:val="000000"/>
          <w:szCs w:val="24"/>
        </w:rPr>
        <w:t>-0</w:t>
      </w:r>
      <w:r w:rsidR="00875347">
        <w:rPr>
          <w:rFonts w:eastAsia="Times New Roman" w:cs="Times New Roman"/>
          <w:color w:val="000000"/>
          <w:szCs w:val="24"/>
        </w:rPr>
        <w:t>06</w:t>
      </w:r>
      <w:r w:rsidR="005F76D0">
        <w:rPr>
          <w:rFonts w:eastAsia="Times New Roman" w:cs="Times New Roman"/>
          <w:color w:val="000000"/>
          <w:szCs w:val="24"/>
        </w:rPr>
        <w:t xml:space="preserve"> to </w:t>
      </w:r>
      <w:r w:rsidR="00875347">
        <w:rPr>
          <w:rFonts w:eastAsia="Times New Roman" w:cs="Times New Roman"/>
          <w:color w:val="000000"/>
          <w:szCs w:val="24"/>
        </w:rPr>
        <w:t xml:space="preserve">SALVATORE A. PAGLIARULO &amp; CARMELA PAGLIARULO. </w:t>
      </w:r>
    </w:p>
    <w:p w14:paraId="7851172B" w14:textId="77777777" w:rsidR="001A1017" w:rsidRDefault="001A1017" w:rsidP="00383C3A">
      <w:pPr>
        <w:spacing w:after="0" w:line="480" w:lineRule="atLeast"/>
        <w:ind w:firstLine="720"/>
        <w:jc w:val="both"/>
        <w:rPr>
          <w:rFonts w:eastAsia="Times New Roman" w:cs="Times New Roman"/>
          <w:color w:val="000000"/>
          <w:szCs w:val="24"/>
        </w:rPr>
      </w:pPr>
    </w:p>
    <w:p w14:paraId="6C163630" w14:textId="77777777" w:rsidR="001A1017" w:rsidRPr="001A1017" w:rsidRDefault="001A1017" w:rsidP="001A1017">
      <w:pPr>
        <w:keepNext/>
        <w:overflowPunct w:val="0"/>
        <w:spacing w:after="0" w:line="240" w:lineRule="auto"/>
        <w:jc w:val="center"/>
        <w:textAlignment w:val="baseline"/>
        <w:outlineLvl w:val="1"/>
        <w:rPr>
          <w:rFonts w:eastAsia="Times New Roman" w:cs="Times New Roman"/>
          <w:b/>
          <w:i/>
          <w:szCs w:val="24"/>
        </w:rPr>
      </w:pPr>
      <w:r w:rsidRPr="001A1017">
        <w:rPr>
          <w:rFonts w:eastAsia="Times New Roman" w:cs="Times New Roman"/>
          <w:b/>
          <w:i/>
          <w:color w:val="000000"/>
          <w:spacing w:val="-3"/>
          <w:szCs w:val="24"/>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A1017" w:rsidRPr="001A1017" w14:paraId="42B2C289" w14:textId="77777777" w:rsidTr="00A35CBF">
        <w:tc>
          <w:tcPr>
            <w:tcW w:w="1890" w:type="dxa"/>
            <w:tcBorders>
              <w:top w:val="single" w:sz="6" w:space="0" w:color="auto"/>
              <w:left w:val="single" w:sz="6" w:space="0" w:color="auto"/>
              <w:bottom w:val="single" w:sz="6" w:space="0" w:color="auto"/>
              <w:right w:val="single" w:sz="6" w:space="0" w:color="auto"/>
            </w:tcBorders>
            <w:hideMark/>
          </w:tcPr>
          <w:p w14:paraId="2B29CCF2" w14:textId="77777777" w:rsidR="001A1017" w:rsidRPr="001A1017" w:rsidRDefault="001A1017" w:rsidP="001A1017">
            <w:pPr>
              <w:overflowPunct w:val="0"/>
              <w:spacing w:after="0" w:line="276" w:lineRule="auto"/>
              <w:textAlignment w:val="baseline"/>
              <w:rPr>
                <w:rFonts w:eastAsia="Times New Roman" w:cs="Times New Roman"/>
                <w:caps/>
                <w:color w:val="000000"/>
                <w:spacing w:val="-3"/>
                <w:sz w:val="18"/>
                <w:szCs w:val="18"/>
              </w:rPr>
            </w:pPr>
            <w:r w:rsidRPr="001A1017">
              <w:rPr>
                <w:rFonts w:eastAsia="Times New Roman" w:cs="Times New Roman"/>
                <w:caps/>
                <w:color w:val="000000"/>
                <w:spacing w:val="-3"/>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7DA833E8" w14:textId="77777777" w:rsidR="001A1017" w:rsidRPr="001A1017" w:rsidRDefault="001A1017" w:rsidP="001A1017">
            <w:pPr>
              <w:overflowPunct w:val="0"/>
              <w:spacing w:after="0" w:line="276" w:lineRule="auto"/>
              <w:textAlignment w:val="baseline"/>
              <w:rPr>
                <w:rFonts w:eastAsia="Times New Roman" w:cs="Times New Roman"/>
                <w:caps/>
                <w:color w:val="000000"/>
                <w:spacing w:val="-3"/>
                <w:sz w:val="18"/>
                <w:szCs w:val="18"/>
              </w:rPr>
            </w:pPr>
            <w:r w:rsidRPr="001A1017">
              <w:rPr>
                <w:rFonts w:eastAsia="Times New Roman" w:cs="Times New Roman"/>
                <w:caps/>
                <w:color w:val="000000"/>
                <w:spacing w:val="-3"/>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38DC3CE0" w14:textId="77777777" w:rsidR="001A1017" w:rsidRPr="001A1017" w:rsidRDefault="001A1017" w:rsidP="001A1017">
            <w:pPr>
              <w:overflowPunct w:val="0"/>
              <w:spacing w:after="0" w:line="276" w:lineRule="auto"/>
              <w:textAlignment w:val="baseline"/>
              <w:rPr>
                <w:rFonts w:eastAsia="Times New Roman" w:cs="Times New Roman"/>
                <w:caps/>
                <w:color w:val="000000"/>
                <w:spacing w:val="-3"/>
                <w:sz w:val="18"/>
                <w:szCs w:val="18"/>
              </w:rPr>
            </w:pPr>
            <w:r w:rsidRPr="001A1017">
              <w:rPr>
                <w:rFonts w:eastAsia="Times New Roman" w:cs="Times New Roman"/>
                <w:caps/>
                <w:color w:val="000000"/>
                <w:spacing w:val="-3"/>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74181EEF"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5C67B48D"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11867DA3"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aps/>
                <w:color w:val="000000"/>
                <w:spacing w:val="-3"/>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6F8E85B8" w14:textId="77777777" w:rsidR="001A1017" w:rsidRPr="001A1017" w:rsidRDefault="001A1017" w:rsidP="001A1017">
            <w:pPr>
              <w:overflowPunct w:val="0"/>
              <w:spacing w:after="0" w:line="276" w:lineRule="auto"/>
              <w:textAlignment w:val="baseline"/>
              <w:rPr>
                <w:rFonts w:eastAsia="Times New Roman" w:cs="Times New Roman"/>
                <w:caps/>
                <w:color w:val="000000"/>
                <w:spacing w:val="-3"/>
                <w:sz w:val="18"/>
                <w:szCs w:val="18"/>
              </w:rPr>
            </w:pPr>
            <w:r w:rsidRPr="001A1017">
              <w:rPr>
                <w:rFonts w:eastAsia="Times New Roman" w:cs="Times New Roman"/>
                <w:caps/>
                <w:color w:val="000000"/>
                <w:spacing w:val="-3"/>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49ACC3D4" w14:textId="77777777" w:rsidR="001A1017" w:rsidRPr="001A1017" w:rsidRDefault="001A1017" w:rsidP="001A1017">
            <w:pPr>
              <w:overflowPunct w:val="0"/>
              <w:spacing w:after="0" w:line="276" w:lineRule="auto"/>
              <w:textAlignment w:val="baseline"/>
              <w:rPr>
                <w:rFonts w:eastAsia="Times New Roman" w:cs="Times New Roman"/>
                <w:caps/>
                <w:color w:val="000000"/>
                <w:spacing w:val="-3"/>
                <w:sz w:val="18"/>
                <w:szCs w:val="18"/>
              </w:rPr>
            </w:pPr>
            <w:r w:rsidRPr="001A1017">
              <w:rPr>
                <w:rFonts w:eastAsia="Times New Roman" w:cs="Times New Roman"/>
                <w:caps/>
                <w:color w:val="000000"/>
                <w:spacing w:val="-3"/>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3E169B8"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9A1792E"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Absent</w:t>
            </w:r>
          </w:p>
        </w:tc>
      </w:tr>
      <w:tr w:rsidR="001A1017" w:rsidRPr="001A1017" w14:paraId="0BC585F9" w14:textId="77777777" w:rsidTr="00875347">
        <w:tc>
          <w:tcPr>
            <w:tcW w:w="1890" w:type="dxa"/>
            <w:tcBorders>
              <w:top w:val="single" w:sz="6" w:space="0" w:color="auto"/>
              <w:left w:val="single" w:sz="6" w:space="0" w:color="auto"/>
              <w:bottom w:val="single" w:sz="6" w:space="0" w:color="auto"/>
              <w:right w:val="single" w:sz="6" w:space="0" w:color="auto"/>
            </w:tcBorders>
            <w:hideMark/>
          </w:tcPr>
          <w:p w14:paraId="5EDDE01A"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Bronkhurst</w:t>
            </w:r>
          </w:p>
        </w:tc>
        <w:tc>
          <w:tcPr>
            <w:tcW w:w="720" w:type="dxa"/>
            <w:tcBorders>
              <w:top w:val="single" w:sz="6" w:space="0" w:color="auto"/>
              <w:left w:val="single" w:sz="6" w:space="0" w:color="auto"/>
              <w:bottom w:val="single" w:sz="6" w:space="0" w:color="auto"/>
              <w:right w:val="single" w:sz="6" w:space="0" w:color="auto"/>
            </w:tcBorders>
          </w:tcPr>
          <w:p w14:paraId="00EB3997" w14:textId="382FD934" w:rsidR="001A1017" w:rsidRPr="001A1017" w:rsidRDefault="001A1017" w:rsidP="001A1017">
            <w:pPr>
              <w:spacing w:after="0" w:line="240" w:lineRule="auto"/>
              <w:rPr>
                <w:rFonts w:eastAsia="Times New Roman" w:cs="Times New Roman"/>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5B0CF7CC"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1B8B31D1"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4602E2A9"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7BE4F06"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5AEA8D04" w14:textId="113E1D14" w:rsidR="001A1017" w:rsidRPr="001A1017" w:rsidRDefault="001A1017" w:rsidP="001A1017">
            <w:pPr>
              <w:spacing w:after="0" w:line="240" w:lineRule="auto"/>
              <w:rPr>
                <w:rFonts w:eastAsia="Times New Roman" w:cs="Times New Roman"/>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7330CBC2"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3205D49A"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24B9ECFE" w14:textId="77777777" w:rsidR="001A1017" w:rsidRPr="001A1017" w:rsidRDefault="001A1017" w:rsidP="001A1017">
            <w:pPr>
              <w:spacing w:after="0" w:line="240" w:lineRule="auto"/>
              <w:rPr>
                <w:rFonts w:eastAsia="Times New Roman" w:cs="Times New Roman"/>
                <w:color w:val="000000"/>
                <w:spacing w:val="-3"/>
                <w:sz w:val="18"/>
                <w:szCs w:val="18"/>
              </w:rPr>
            </w:pPr>
          </w:p>
        </w:tc>
      </w:tr>
      <w:tr w:rsidR="001A1017" w:rsidRPr="001A1017" w14:paraId="72DBA76E" w14:textId="77777777" w:rsidTr="00875347">
        <w:tc>
          <w:tcPr>
            <w:tcW w:w="1890" w:type="dxa"/>
            <w:tcBorders>
              <w:top w:val="single" w:sz="6" w:space="0" w:color="auto"/>
              <w:left w:val="single" w:sz="6" w:space="0" w:color="auto"/>
              <w:bottom w:val="single" w:sz="6" w:space="0" w:color="auto"/>
              <w:right w:val="single" w:sz="6" w:space="0" w:color="auto"/>
            </w:tcBorders>
            <w:hideMark/>
          </w:tcPr>
          <w:p w14:paraId="33B14FB0"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Catalano</w:t>
            </w:r>
          </w:p>
        </w:tc>
        <w:tc>
          <w:tcPr>
            <w:tcW w:w="720" w:type="dxa"/>
            <w:tcBorders>
              <w:top w:val="single" w:sz="6" w:space="0" w:color="auto"/>
              <w:left w:val="single" w:sz="6" w:space="0" w:color="auto"/>
              <w:bottom w:val="single" w:sz="6" w:space="0" w:color="auto"/>
              <w:right w:val="single" w:sz="6" w:space="0" w:color="auto"/>
            </w:tcBorders>
          </w:tcPr>
          <w:p w14:paraId="344AEF8D"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39D4BB2E"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311DAE13"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5AABEAFD" w14:textId="1EAC7B88"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1062CED2"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Schubert</w:t>
            </w:r>
          </w:p>
        </w:tc>
        <w:tc>
          <w:tcPr>
            <w:tcW w:w="665" w:type="dxa"/>
            <w:tcBorders>
              <w:top w:val="single" w:sz="6" w:space="0" w:color="auto"/>
              <w:left w:val="single" w:sz="6" w:space="0" w:color="auto"/>
              <w:bottom w:val="single" w:sz="6" w:space="0" w:color="auto"/>
              <w:right w:val="single" w:sz="6" w:space="0" w:color="auto"/>
            </w:tcBorders>
          </w:tcPr>
          <w:p w14:paraId="39A4F8C6" w14:textId="16EE391F" w:rsidR="001A1017" w:rsidRPr="001A1017" w:rsidRDefault="001A1017" w:rsidP="001A1017">
            <w:pPr>
              <w:spacing w:after="0" w:line="240" w:lineRule="auto"/>
              <w:rPr>
                <w:rFonts w:eastAsia="Times New Roman" w:cs="Times New Roman"/>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08E89D66"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5EEB00E2"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788DCC18" w14:textId="77777777" w:rsidR="001A1017" w:rsidRPr="001A1017" w:rsidRDefault="001A1017" w:rsidP="001A1017">
            <w:pPr>
              <w:spacing w:after="0" w:line="240" w:lineRule="auto"/>
              <w:rPr>
                <w:rFonts w:eastAsia="Times New Roman" w:cs="Times New Roman"/>
                <w:color w:val="000000"/>
                <w:spacing w:val="-3"/>
                <w:sz w:val="18"/>
                <w:szCs w:val="18"/>
              </w:rPr>
            </w:pPr>
          </w:p>
        </w:tc>
      </w:tr>
      <w:tr w:rsidR="001A1017" w:rsidRPr="001A1017" w14:paraId="1153A270" w14:textId="77777777" w:rsidTr="00875347">
        <w:tc>
          <w:tcPr>
            <w:tcW w:w="1890" w:type="dxa"/>
            <w:tcBorders>
              <w:top w:val="single" w:sz="6" w:space="0" w:color="auto"/>
              <w:left w:val="single" w:sz="6" w:space="0" w:color="auto"/>
              <w:bottom w:val="single" w:sz="6" w:space="0" w:color="auto"/>
              <w:right w:val="single" w:sz="6" w:space="0" w:color="auto"/>
            </w:tcBorders>
            <w:hideMark/>
          </w:tcPr>
          <w:p w14:paraId="6FB32AC2"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Graziano</w:t>
            </w:r>
          </w:p>
        </w:tc>
        <w:tc>
          <w:tcPr>
            <w:tcW w:w="720" w:type="dxa"/>
            <w:tcBorders>
              <w:top w:val="single" w:sz="6" w:space="0" w:color="auto"/>
              <w:left w:val="single" w:sz="6" w:space="0" w:color="auto"/>
              <w:bottom w:val="single" w:sz="6" w:space="0" w:color="auto"/>
              <w:right w:val="single" w:sz="6" w:space="0" w:color="auto"/>
            </w:tcBorders>
          </w:tcPr>
          <w:p w14:paraId="477C41CC" w14:textId="5A0BC980"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p>
        </w:tc>
        <w:tc>
          <w:tcPr>
            <w:tcW w:w="720" w:type="dxa"/>
            <w:tcBorders>
              <w:top w:val="single" w:sz="6" w:space="0" w:color="auto"/>
              <w:left w:val="single" w:sz="6" w:space="0" w:color="auto"/>
              <w:bottom w:val="single" w:sz="6" w:space="0" w:color="auto"/>
              <w:right w:val="single" w:sz="6" w:space="0" w:color="auto"/>
            </w:tcBorders>
          </w:tcPr>
          <w:p w14:paraId="04F5098D"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477C22EA"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005449CC" w14:textId="77777777" w:rsidR="001A1017" w:rsidRPr="001A1017" w:rsidRDefault="001A1017" w:rsidP="001A1017">
            <w:pPr>
              <w:spacing w:after="0" w:line="240" w:lineRule="auto"/>
              <w:rPr>
                <w:rFonts w:eastAsia="Times New Roman" w:cs="Times New Roman"/>
                <w:color w:val="000000"/>
                <w:spacing w:val="-3"/>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C9FC1F8"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57E11D09" w14:textId="4C121E39"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685" w:type="dxa"/>
            <w:tcBorders>
              <w:top w:val="single" w:sz="6" w:space="0" w:color="auto"/>
              <w:left w:val="single" w:sz="6" w:space="0" w:color="auto"/>
              <w:bottom w:val="single" w:sz="6" w:space="0" w:color="auto"/>
              <w:right w:val="single" w:sz="6" w:space="0" w:color="auto"/>
            </w:tcBorders>
          </w:tcPr>
          <w:p w14:paraId="7223D79B"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900" w:type="dxa"/>
            <w:tcBorders>
              <w:top w:val="single" w:sz="6" w:space="0" w:color="auto"/>
              <w:left w:val="single" w:sz="6" w:space="0" w:color="auto"/>
              <w:bottom w:val="single" w:sz="6" w:space="0" w:color="auto"/>
              <w:right w:val="single" w:sz="6" w:space="0" w:color="auto"/>
            </w:tcBorders>
          </w:tcPr>
          <w:p w14:paraId="64134061"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c>
          <w:tcPr>
            <w:tcW w:w="810" w:type="dxa"/>
            <w:tcBorders>
              <w:top w:val="single" w:sz="6" w:space="0" w:color="auto"/>
              <w:left w:val="single" w:sz="6" w:space="0" w:color="auto"/>
              <w:bottom w:val="single" w:sz="6" w:space="0" w:color="auto"/>
              <w:right w:val="single" w:sz="6" w:space="0" w:color="auto"/>
            </w:tcBorders>
          </w:tcPr>
          <w:p w14:paraId="5199B8CE" w14:textId="77777777" w:rsidR="001A1017" w:rsidRPr="001A1017" w:rsidRDefault="001A1017" w:rsidP="001A1017">
            <w:pPr>
              <w:overflowPunct w:val="0"/>
              <w:spacing w:after="0" w:line="276" w:lineRule="auto"/>
              <w:textAlignment w:val="baseline"/>
              <w:rPr>
                <w:rFonts w:eastAsia="Times New Roman" w:cs="Times New Roman"/>
                <w:color w:val="000000"/>
                <w:spacing w:val="-3"/>
                <w:sz w:val="18"/>
                <w:szCs w:val="18"/>
              </w:rPr>
            </w:pPr>
          </w:p>
        </w:tc>
      </w:tr>
    </w:tbl>
    <w:p w14:paraId="508B4FDE" w14:textId="77777777"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p>
    <w:p w14:paraId="0B83E5CC" w14:textId="410DAA1C"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 xml:space="preserve">I hereby certify that the foregoing is a true copy of a Resolution adopted by the Governing Body of the Borough of Bloomingdale at an Official Meeting held on </w:t>
      </w:r>
      <w:r w:rsidR="00875347">
        <w:rPr>
          <w:rFonts w:eastAsia="Times New Roman" w:cs="Times New Roman"/>
          <w:color w:val="000000"/>
          <w:spacing w:val="-3"/>
          <w:sz w:val="18"/>
          <w:szCs w:val="18"/>
        </w:rPr>
        <w:t>May 20</w:t>
      </w:r>
      <w:r w:rsidRPr="001A1017">
        <w:rPr>
          <w:rFonts w:eastAsia="Times New Roman" w:cs="Times New Roman"/>
          <w:color w:val="000000"/>
          <w:spacing w:val="-3"/>
          <w:sz w:val="18"/>
          <w:szCs w:val="18"/>
        </w:rPr>
        <w:t>, 2025.</w:t>
      </w:r>
    </w:p>
    <w:p w14:paraId="5E137708" w14:textId="77777777"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p>
    <w:p w14:paraId="2BCA6964" w14:textId="77777777"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p>
    <w:p w14:paraId="0F39E1FF" w14:textId="77777777"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p>
    <w:p w14:paraId="3A9F9DBF" w14:textId="77777777" w:rsidR="001A1017" w:rsidRPr="001A1017" w:rsidRDefault="001A1017" w:rsidP="001A1017">
      <w:pPr>
        <w:overflowPunct w:val="0"/>
        <w:spacing w:after="0" w:line="240" w:lineRule="auto"/>
        <w:textAlignment w:val="baseline"/>
        <w:rPr>
          <w:rFonts w:eastAsia="Times New Roman" w:cs="Times New Roman"/>
          <w:color w:val="000000"/>
          <w:spacing w:val="-3"/>
          <w:sz w:val="18"/>
          <w:szCs w:val="18"/>
        </w:rPr>
      </w:pPr>
      <w:r w:rsidRPr="001A1017">
        <w:rPr>
          <w:rFonts w:eastAsia="Times New Roman" w:cs="Times New Roman"/>
          <w:color w:val="000000"/>
          <w:spacing w:val="-3"/>
          <w:sz w:val="18"/>
          <w:szCs w:val="18"/>
        </w:rPr>
        <w:t>___________________________________</w:t>
      </w:r>
    </w:p>
    <w:p w14:paraId="1DBC2919" w14:textId="7A736665" w:rsidR="009A5637" w:rsidRDefault="001A1017" w:rsidP="001A1017">
      <w:pPr>
        <w:overflowPunct w:val="0"/>
        <w:spacing w:after="0" w:line="240" w:lineRule="auto"/>
        <w:textAlignment w:val="baseline"/>
        <w:rPr>
          <w:rFonts w:eastAsia="Times New Roman" w:cs="Times New Roman"/>
          <w:color w:val="000000"/>
          <w:szCs w:val="24"/>
        </w:rPr>
      </w:pPr>
      <w:r w:rsidRPr="001A1017">
        <w:rPr>
          <w:rFonts w:eastAsia="Times New Roman" w:cs="Times New Roman"/>
          <w:color w:val="000000"/>
          <w:spacing w:val="-3"/>
          <w:sz w:val="18"/>
          <w:szCs w:val="18"/>
        </w:rPr>
        <w:t xml:space="preserve">Breeanna Smith, RMC </w:t>
      </w:r>
      <w:r w:rsidRPr="001A1017">
        <w:rPr>
          <w:rFonts w:eastAsia="Times New Roman" w:cs="Times New Roman"/>
          <w:color w:val="000000"/>
          <w:spacing w:val="-3"/>
          <w:sz w:val="18"/>
          <w:szCs w:val="18"/>
        </w:rPr>
        <w:br/>
        <w:t>Municipal Clerk, Borough of Bloomingdale</w:t>
      </w:r>
    </w:p>
    <w:bookmarkEnd w:id="0"/>
    <w:sectPr w:rsidR="009A5637" w:rsidSect="00B10E1F">
      <w:headerReference w:type="even" r:id="rId6"/>
      <w:headerReference w:type="default" r:id="rId7"/>
      <w:footerReference w:type="even" r:id="rId8"/>
      <w:footerReference w:type="default" r:id="rId9"/>
      <w:headerReference w:type="first" r:id="rId10"/>
      <w:footerReference w:type="firs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720D" w14:textId="77777777" w:rsidR="00CF2EDB" w:rsidRDefault="00CF2EDB" w:rsidP="00CF2EDB">
      <w:pPr>
        <w:spacing w:after="0" w:line="240" w:lineRule="auto"/>
      </w:pPr>
      <w:r>
        <w:separator/>
      </w:r>
    </w:p>
  </w:endnote>
  <w:endnote w:type="continuationSeparator" w:id="0">
    <w:p w14:paraId="51EE1796" w14:textId="77777777" w:rsidR="00CF2EDB" w:rsidRDefault="00CF2EDB" w:rsidP="00CF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2E6" w14:textId="77777777" w:rsidR="00CF2EDB" w:rsidRDefault="00CF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E61" w14:textId="77777777" w:rsidR="00CF2EDB" w:rsidRDefault="00CF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1DB" w14:textId="77777777" w:rsidR="00CF2EDB" w:rsidRDefault="00CF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3681" w14:textId="77777777" w:rsidR="00CF2EDB" w:rsidRDefault="00CF2EDB" w:rsidP="00CF2EDB">
      <w:pPr>
        <w:spacing w:after="0" w:line="240" w:lineRule="auto"/>
      </w:pPr>
      <w:r>
        <w:separator/>
      </w:r>
    </w:p>
  </w:footnote>
  <w:footnote w:type="continuationSeparator" w:id="0">
    <w:p w14:paraId="2ADEF994" w14:textId="77777777" w:rsidR="00CF2EDB" w:rsidRDefault="00CF2EDB" w:rsidP="00CF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B81" w14:textId="77777777" w:rsidR="00CF2EDB" w:rsidRDefault="00CF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F0A7" w14:textId="77777777" w:rsidR="00CF2EDB" w:rsidRDefault="00CF2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4EE5" w14:textId="77777777" w:rsidR="00CF2EDB" w:rsidRDefault="00CF2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4F"/>
    <w:rsid w:val="00093A6C"/>
    <w:rsid w:val="000A3F4B"/>
    <w:rsid w:val="000B3FB3"/>
    <w:rsid w:val="001A1017"/>
    <w:rsid w:val="00222985"/>
    <w:rsid w:val="00225359"/>
    <w:rsid w:val="00230FF3"/>
    <w:rsid w:val="002B31A7"/>
    <w:rsid w:val="002D58D2"/>
    <w:rsid w:val="00306DAD"/>
    <w:rsid w:val="00383C3A"/>
    <w:rsid w:val="003A4DE5"/>
    <w:rsid w:val="003A685C"/>
    <w:rsid w:val="003F221F"/>
    <w:rsid w:val="003F2F8E"/>
    <w:rsid w:val="004B7E38"/>
    <w:rsid w:val="00560290"/>
    <w:rsid w:val="00592DBA"/>
    <w:rsid w:val="005F76D0"/>
    <w:rsid w:val="00605C52"/>
    <w:rsid w:val="006958B8"/>
    <w:rsid w:val="006D6654"/>
    <w:rsid w:val="00747B37"/>
    <w:rsid w:val="00780218"/>
    <w:rsid w:val="00870C02"/>
    <w:rsid w:val="00875347"/>
    <w:rsid w:val="008E394F"/>
    <w:rsid w:val="009A5637"/>
    <w:rsid w:val="009B6BE0"/>
    <w:rsid w:val="00A4460F"/>
    <w:rsid w:val="00AA0469"/>
    <w:rsid w:val="00AD2563"/>
    <w:rsid w:val="00B10E1F"/>
    <w:rsid w:val="00B80F91"/>
    <w:rsid w:val="00B8293B"/>
    <w:rsid w:val="00C25C0A"/>
    <w:rsid w:val="00CB4E94"/>
    <w:rsid w:val="00CF2EDB"/>
    <w:rsid w:val="00D322F7"/>
    <w:rsid w:val="00DA781F"/>
    <w:rsid w:val="00E03D9E"/>
    <w:rsid w:val="00E43F8C"/>
    <w:rsid w:val="00EB09AB"/>
    <w:rsid w:val="00F511E6"/>
    <w:rsid w:val="00FA4A14"/>
    <w:rsid w:val="00FA74B8"/>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35B9E4"/>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 w:type="paragraph" w:styleId="Header">
    <w:name w:val="header"/>
    <w:basedOn w:val="Normal"/>
    <w:link w:val="HeaderChar"/>
    <w:uiPriority w:val="99"/>
    <w:unhideWhenUsed/>
    <w:rsid w:val="00CF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DB"/>
  </w:style>
  <w:style w:type="paragraph" w:styleId="Footer">
    <w:name w:val="footer"/>
    <w:basedOn w:val="Normal"/>
    <w:link w:val="FooterChar"/>
    <w:uiPriority w:val="99"/>
    <w:unhideWhenUsed/>
    <w:rsid w:val="00CF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67">
      <w:bodyDiv w:val="1"/>
      <w:marLeft w:val="0"/>
      <w:marRight w:val="0"/>
      <w:marTop w:val="0"/>
      <w:marBottom w:val="0"/>
      <w:divBdr>
        <w:top w:val="none" w:sz="0" w:space="0" w:color="auto"/>
        <w:left w:val="none" w:sz="0" w:space="0" w:color="auto"/>
        <w:bottom w:val="none" w:sz="0" w:space="0" w:color="auto"/>
        <w:right w:val="none" w:sz="0" w:space="0" w:color="auto"/>
      </w:divBdr>
    </w:div>
    <w:div w:id="1245333277">
      <w:bodyDiv w:val="1"/>
      <w:marLeft w:val="0"/>
      <w:marRight w:val="0"/>
      <w:marTop w:val="0"/>
      <w:marBottom w:val="0"/>
      <w:divBdr>
        <w:top w:val="none" w:sz="0" w:space="0" w:color="auto"/>
        <w:left w:val="none" w:sz="0" w:space="0" w:color="auto"/>
        <w:bottom w:val="none" w:sz="0" w:space="0" w:color="auto"/>
        <w:right w:val="none" w:sz="0" w:space="0" w:color="auto"/>
      </w:divBdr>
    </w:div>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5</cp:revision>
  <cp:lastPrinted>2019-05-21T14:42:00Z</cp:lastPrinted>
  <dcterms:created xsi:type="dcterms:W3CDTF">2025-05-02T14:12:00Z</dcterms:created>
  <dcterms:modified xsi:type="dcterms:W3CDTF">2025-05-07T17:19:00Z</dcterms:modified>
</cp:coreProperties>
</file>