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96D1" w14:textId="77777777" w:rsidR="00DB51D9" w:rsidRDefault="00DB51D9" w:rsidP="000910E3">
      <w:pPr>
        <w:tabs>
          <w:tab w:val="center" w:pos="4680"/>
        </w:tabs>
        <w:suppressAutoHyphens/>
        <w:jc w:val="center"/>
        <w:rPr>
          <w:b/>
          <w:spacing w:val="-2"/>
          <w:sz w:val="24"/>
          <w:szCs w:val="24"/>
        </w:rPr>
      </w:pPr>
    </w:p>
    <w:p w14:paraId="7E829027" w14:textId="7C63F1E4" w:rsidR="000910E3" w:rsidRDefault="00023F12" w:rsidP="000910E3">
      <w:pPr>
        <w:tabs>
          <w:tab w:val="center" w:pos="4680"/>
        </w:tabs>
        <w:suppressAutoHyphens/>
        <w:jc w:val="center"/>
        <w:rPr>
          <w:b/>
          <w:spacing w:val="-2"/>
          <w:sz w:val="22"/>
        </w:rPr>
      </w:pPr>
      <w:r w:rsidRPr="000910E3">
        <w:rPr>
          <w:b/>
          <w:spacing w:val="-2"/>
          <w:sz w:val="24"/>
          <w:szCs w:val="24"/>
        </w:rPr>
        <w:t xml:space="preserve">RESOLUTION NO. </w:t>
      </w:r>
      <w:r w:rsidR="00AA1B14">
        <w:rPr>
          <w:b/>
          <w:spacing w:val="-2"/>
          <w:sz w:val="24"/>
          <w:szCs w:val="24"/>
        </w:rPr>
        <w:t>202</w:t>
      </w:r>
      <w:r w:rsidR="009038B3">
        <w:rPr>
          <w:b/>
          <w:spacing w:val="-2"/>
          <w:sz w:val="24"/>
          <w:szCs w:val="24"/>
        </w:rPr>
        <w:t>5-</w:t>
      </w:r>
      <w:r w:rsidR="00171C2A">
        <w:rPr>
          <w:b/>
          <w:spacing w:val="-2"/>
          <w:sz w:val="24"/>
          <w:szCs w:val="24"/>
        </w:rPr>
        <w:t>11</w:t>
      </w:r>
      <w:r w:rsidR="009038B3">
        <w:rPr>
          <w:b/>
          <w:spacing w:val="-2"/>
          <w:sz w:val="24"/>
          <w:szCs w:val="24"/>
        </w:rPr>
        <w:t>.</w:t>
      </w:r>
      <w:r w:rsidR="009D4381">
        <w:rPr>
          <w:b/>
          <w:spacing w:val="-2"/>
          <w:sz w:val="24"/>
          <w:szCs w:val="24"/>
        </w:rPr>
        <w:t>13</w:t>
      </w:r>
    </w:p>
    <w:p w14:paraId="71E12213" w14:textId="77777777" w:rsidR="000910E3" w:rsidRDefault="000C6405" w:rsidP="000910E3">
      <w:pPr>
        <w:tabs>
          <w:tab w:val="center" w:pos="4680"/>
        </w:tabs>
        <w:suppressAutoHyphens/>
        <w:jc w:val="center"/>
        <w:rPr>
          <w:b/>
          <w:spacing w:val="-2"/>
          <w:sz w:val="24"/>
          <w:szCs w:val="24"/>
        </w:rPr>
      </w:pPr>
      <w:r w:rsidRPr="000910E3">
        <w:rPr>
          <w:b/>
          <w:spacing w:val="-2"/>
          <w:sz w:val="24"/>
          <w:szCs w:val="24"/>
        </w:rPr>
        <w:t>OF THE GOVERNING BODY</w:t>
      </w:r>
      <w:r w:rsidR="000910E3">
        <w:rPr>
          <w:b/>
          <w:spacing w:val="-2"/>
          <w:sz w:val="22"/>
        </w:rPr>
        <w:t xml:space="preserve"> </w:t>
      </w:r>
      <w:r w:rsidRPr="000910E3">
        <w:rPr>
          <w:b/>
          <w:spacing w:val="-2"/>
          <w:sz w:val="24"/>
          <w:szCs w:val="24"/>
        </w:rPr>
        <w:t>OF</w:t>
      </w:r>
    </w:p>
    <w:p w14:paraId="64E5211F" w14:textId="77777777" w:rsidR="00023F12" w:rsidRPr="000910E3" w:rsidRDefault="000C6405" w:rsidP="000910E3">
      <w:pPr>
        <w:tabs>
          <w:tab w:val="center" w:pos="4680"/>
        </w:tabs>
        <w:suppressAutoHyphens/>
        <w:jc w:val="center"/>
        <w:rPr>
          <w:b/>
          <w:spacing w:val="-2"/>
          <w:sz w:val="22"/>
          <w:u w:val="single"/>
        </w:rPr>
      </w:pPr>
      <w:r w:rsidRPr="000910E3">
        <w:rPr>
          <w:b/>
          <w:spacing w:val="-2"/>
          <w:sz w:val="24"/>
          <w:szCs w:val="24"/>
          <w:u w:val="single"/>
        </w:rPr>
        <w:t xml:space="preserve">THE </w:t>
      </w:r>
      <w:r w:rsidR="00023F12" w:rsidRPr="000910E3">
        <w:rPr>
          <w:b/>
          <w:spacing w:val="-2"/>
          <w:sz w:val="24"/>
          <w:szCs w:val="24"/>
          <w:u w:val="single"/>
        </w:rPr>
        <w:t>BOROUGH OF BLOOMINGDALE</w:t>
      </w:r>
    </w:p>
    <w:p w14:paraId="45348398" w14:textId="77777777" w:rsidR="00023F12" w:rsidRPr="000910E3" w:rsidRDefault="00023F12" w:rsidP="00023F12">
      <w:pPr>
        <w:tabs>
          <w:tab w:val="left" w:pos="-720"/>
        </w:tabs>
        <w:suppressAutoHyphens/>
        <w:jc w:val="center"/>
        <w:rPr>
          <w:b/>
          <w:spacing w:val="-2"/>
          <w:sz w:val="24"/>
          <w:szCs w:val="24"/>
        </w:rPr>
      </w:pPr>
    </w:p>
    <w:p w14:paraId="7C654C62" w14:textId="0F3A87AE" w:rsidR="00023F12" w:rsidRDefault="000910E3" w:rsidP="000202F7">
      <w:pPr>
        <w:tabs>
          <w:tab w:val="left" w:pos="-1440"/>
          <w:tab w:val="left" w:pos="-720"/>
          <w:tab w:val="left" w:pos="720"/>
          <w:tab w:val="left" w:pos="1440"/>
          <w:tab w:val="left" w:pos="5040"/>
          <w:tab w:val="right" w:pos="7920"/>
        </w:tabs>
        <w:suppressAutoHyphens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RESOLUTION AUTHORIZING THE CANCELLATION OF </w:t>
      </w:r>
      <w:r w:rsidR="00171C2A">
        <w:rPr>
          <w:b/>
          <w:spacing w:val="-2"/>
          <w:sz w:val="24"/>
          <w:szCs w:val="24"/>
        </w:rPr>
        <w:t>WATER</w:t>
      </w:r>
      <w:r>
        <w:rPr>
          <w:b/>
          <w:spacing w:val="-2"/>
          <w:sz w:val="24"/>
          <w:szCs w:val="24"/>
        </w:rPr>
        <w:t xml:space="preserve"> CAPITAL ORDINANCES</w:t>
      </w:r>
    </w:p>
    <w:p w14:paraId="553036D3" w14:textId="77777777" w:rsidR="000910E3" w:rsidRPr="000910E3" w:rsidRDefault="000910E3" w:rsidP="000202F7">
      <w:pPr>
        <w:tabs>
          <w:tab w:val="left" w:pos="-1440"/>
          <w:tab w:val="left" w:pos="-720"/>
          <w:tab w:val="left" w:pos="720"/>
          <w:tab w:val="left" w:pos="1440"/>
          <w:tab w:val="left" w:pos="5040"/>
          <w:tab w:val="right" w:pos="7920"/>
        </w:tabs>
        <w:suppressAutoHyphens/>
        <w:jc w:val="both"/>
        <w:rPr>
          <w:spacing w:val="-2"/>
          <w:sz w:val="24"/>
          <w:szCs w:val="24"/>
        </w:rPr>
      </w:pPr>
    </w:p>
    <w:p w14:paraId="166621A3" w14:textId="6CA9563D" w:rsidR="00A3725C" w:rsidRPr="00A3725C" w:rsidRDefault="00A3725C" w:rsidP="00A3725C">
      <w:pPr>
        <w:rPr>
          <w:b/>
          <w:spacing w:val="-2"/>
          <w:sz w:val="24"/>
          <w:szCs w:val="24"/>
        </w:rPr>
      </w:pPr>
      <w:proofErr w:type="gramStart"/>
      <w:r w:rsidRPr="00A3725C">
        <w:rPr>
          <w:b/>
          <w:spacing w:val="-2"/>
          <w:sz w:val="24"/>
          <w:szCs w:val="24"/>
        </w:rPr>
        <w:t>WHEREAS,</w:t>
      </w:r>
      <w:proofErr w:type="gramEnd"/>
      <w:r w:rsidRPr="00A3725C">
        <w:rPr>
          <w:b/>
          <w:spacing w:val="-2"/>
          <w:sz w:val="24"/>
          <w:szCs w:val="24"/>
        </w:rPr>
        <w:t xml:space="preserve"> </w:t>
      </w:r>
      <w:r w:rsidRPr="00A3725C">
        <w:rPr>
          <w:bCs/>
          <w:spacing w:val="-2"/>
          <w:sz w:val="24"/>
          <w:szCs w:val="24"/>
        </w:rPr>
        <w:t xml:space="preserve">certain </w:t>
      </w:r>
      <w:r w:rsidR="009D4381">
        <w:rPr>
          <w:bCs/>
          <w:spacing w:val="-2"/>
          <w:sz w:val="24"/>
          <w:szCs w:val="24"/>
        </w:rPr>
        <w:t>Water</w:t>
      </w:r>
      <w:r w:rsidRPr="00A3725C">
        <w:rPr>
          <w:bCs/>
          <w:spacing w:val="-2"/>
          <w:sz w:val="24"/>
          <w:szCs w:val="24"/>
        </w:rPr>
        <w:t xml:space="preserve"> Capital Improvement </w:t>
      </w:r>
      <w:r w:rsidR="009D4381">
        <w:rPr>
          <w:bCs/>
          <w:spacing w:val="-2"/>
          <w:sz w:val="24"/>
          <w:szCs w:val="24"/>
        </w:rPr>
        <w:t>a</w:t>
      </w:r>
      <w:r w:rsidRPr="00A3725C">
        <w:rPr>
          <w:bCs/>
          <w:spacing w:val="-2"/>
          <w:sz w:val="24"/>
          <w:szCs w:val="24"/>
        </w:rPr>
        <w:t>uthorizations have appropriation balances which remain dedicated to projects that are completed; and</w:t>
      </w:r>
    </w:p>
    <w:p w14:paraId="67251DD7" w14:textId="77777777" w:rsidR="00A3725C" w:rsidRPr="00A3725C" w:rsidRDefault="00A3725C" w:rsidP="00A3725C">
      <w:pPr>
        <w:rPr>
          <w:b/>
          <w:spacing w:val="-2"/>
          <w:sz w:val="24"/>
          <w:szCs w:val="24"/>
        </w:rPr>
      </w:pPr>
    </w:p>
    <w:p w14:paraId="15F6A0B8" w14:textId="77777777" w:rsidR="00A3725C" w:rsidRPr="00A3725C" w:rsidRDefault="00A3725C" w:rsidP="00A3725C">
      <w:pPr>
        <w:rPr>
          <w:b/>
          <w:spacing w:val="-2"/>
          <w:sz w:val="24"/>
          <w:szCs w:val="24"/>
        </w:rPr>
      </w:pPr>
      <w:r w:rsidRPr="00A3725C">
        <w:rPr>
          <w:b/>
          <w:spacing w:val="-2"/>
          <w:sz w:val="24"/>
          <w:szCs w:val="24"/>
        </w:rPr>
        <w:t xml:space="preserve">WHEREAS, </w:t>
      </w:r>
      <w:r w:rsidRPr="00A3725C">
        <w:rPr>
          <w:bCs/>
          <w:spacing w:val="-2"/>
          <w:sz w:val="24"/>
          <w:szCs w:val="24"/>
        </w:rPr>
        <w:t xml:space="preserve">it is necessary to formally cancel said balances so that the unexpended balances may be credited to capital surplus, grants receivable and unused debt authorizations may be </w:t>
      </w:r>
      <w:proofErr w:type="gramStart"/>
      <w:r w:rsidRPr="00A3725C">
        <w:rPr>
          <w:bCs/>
          <w:spacing w:val="-2"/>
          <w:sz w:val="24"/>
          <w:szCs w:val="24"/>
        </w:rPr>
        <w:t>cancelled;</w:t>
      </w:r>
      <w:proofErr w:type="gramEnd"/>
    </w:p>
    <w:p w14:paraId="31805DA1" w14:textId="77777777" w:rsidR="00A3725C" w:rsidRPr="00A3725C" w:rsidRDefault="00A3725C" w:rsidP="00A3725C">
      <w:pPr>
        <w:rPr>
          <w:b/>
          <w:spacing w:val="-2"/>
          <w:sz w:val="24"/>
          <w:szCs w:val="24"/>
        </w:rPr>
      </w:pPr>
    </w:p>
    <w:p w14:paraId="2494B877" w14:textId="336943C9" w:rsidR="00A3725C" w:rsidRDefault="00A3725C" w:rsidP="00A3725C">
      <w:pPr>
        <w:rPr>
          <w:bCs/>
          <w:spacing w:val="-2"/>
          <w:sz w:val="24"/>
          <w:szCs w:val="24"/>
        </w:rPr>
      </w:pPr>
      <w:r w:rsidRPr="00A3725C">
        <w:rPr>
          <w:b/>
          <w:spacing w:val="-2"/>
          <w:sz w:val="24"/>
          <w:szCs w:val="24"/>
        </w:rPr>
        <w:t xml:space="preserve">NOW THEREFORE, BE IT RESOLVED, </w:t>
      </w:r>
      <w:r w:rsidRPr="00A3725C">
        <w:rPr>
          <w:bCs/>
          <w:spacing w:val="-2"/>
          <w:sz w:val="24"/>
          <w:szCs w:val="24"/>
        </w:rPr>
        <w:t xml:space="preserve">by the governing body of the Borough of </w:t>
      </w:r>
      <w:r w:rsidR="00387979">
        <w:rPr>
          <w:bCs/>
          <w:spacing w:val="-2"/>
          <w:sz w:val="24"/>
          <w:szCs w:val="24"/>
        </w:rPr>
        <w:t>Bloomingdale</w:t>
      </w:r>
      <w:r w:rsidRPr="00A3725C">
        <w:rPr>
          <w:bCs/>
          <w:spacing w:val="-2"/>
          <w:sz w:val="24"/>
          <w:szCs w:val="24"/>
        </w:rPr>
        <w:t xml:space="preserve">, the following unexpended and dedicated balances of </w:t>
      </w:r>
      <w:r w:rsidR="00171C2A">
        <w:rPr>
          <w:bCs/>
          <w:spacing w:val="-2"/>
          <w:sz w:val="24"/>
          <w:szCs w:val="24"/>
        </w:rPr>
        <w:t>Water</w:t>
      </w:r>
      <w:r w:rsidRPr="00A3725C">
        <w:rPr>
          <w:bCs/>
          <w:spacing w:val="-2"/>
          <w:sz w:val="24"/>
          <w:szCs w:val="24"/>
        </w:rPr>
        <w:t xml:space="preserve"> Capital Fund appropriations be cancelled:</w:t>
      </w:r>
    </w:p>
    <w:p w14:paraId="7F8A83A8" w14:textId="77777777" w:rsidR="00DB51D9" w:rsidRPr="00A3725C" w:rsidRDefault="00DB51D9" w:rsidP="00A3725C">
      <w:pPr>
        <w:rPr>
          <w:b/>
          <w:spacing w:val="-2"/>
          <w:sz w:val="24"/>
          <w:szCs w:val="24"/>
        </w:rPr>
      </w:pPr>
    </w:p>
    <w:p w14:paraId="787571F0" w14:textId="77777777" w:rsidR="00A3725C" w:rsidRPr="00A3725C" w:rsidRDefault="00A3725C" w:rsidP="00A3725C">
      <w:pPr>
        <w:rPr>
          <w:b/>
          <w:spacing w:val="-2"/>
          <w:sz w:val="24"/>
          <w:szCs w:val="24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</w:tblCellMar>
        <w:tblLook w:val="04A0" w:firstRow="1" w:lastRow="0" w:firstColumn="1" w:lastColumn="0" w:noHBand="0" w:noVBand="1"/>
      </w:tblPr>
      <w:tblGrid>
        <w:gridCol w:w="1705"/>
        <w:gridCol w:w="4341"/>
        <w:gridCol w:w="1427"/>
        <w:gridCol w:w="1605"/>
      </w:tblGrid>
      <w:tr w:rsidR="00232288" w:rsidRPr="00232288" w14:paraId="2FD17E17" w14:textId="77777777" w:rsidTr="0015344A">
        <w:trPr>
          <w:trHeight w:val="315"/>
        </w:trPr>
        <w:tc>
          <w:tcPr>
            <w:tcW w:w="1705" w:type="dxa"/>
            <w:vAlign w:val="center"/>
            <w:hideMark/>
          </w:tcPr>
          <w:p w14:paraId="1E42A602" w14:textId="77777777" w:rsidR="00232288" w:rsidRPr="00232288" w:rsidRDefault="00232288" w:rsidP="00232288">
            <w:pPr>
              <w:jc w:val="center"/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Ordinance</w:t>
            </w:r>
          </w:p>
        </w:tc>
        <w:tc>
          <w:tcPr>
            <w:tcW w:w="4341" w:type="dxa"/>
            <w:vAlign w:val="center"/>
            <w:hideMark/>
          </w:tcPr>
          <w:p w14:paraId="7DE76966" w14:textId="445D2195" w:rsidR="00232288" w:rsidRPr="00232288" w:rsidRDefault="00232288" w:rsidP="00232288">
            <w:pPr>
              <w:jc w:val="center"/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Project</w:t>
            </w:r>
          </w:p>
        </w:tc>
        <w:tc>
          <w:tcPr>
            <w:tcW w:w="3032" w:type="dxa"/>
            <w:gridSpan w:val="2"/>
            <w:vAlign w:val="center"/>
            <w:hideMark/>
          </w:tcPr>
          <w:p w14:paraId="31C3639E" w14:textId="3FA720CC" w:rsidR="00232288" w:rsidRPr="00232288" w:rsidRDefault="00232288" w:rsidP="00232288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  <w:u w:val="single"/>
              </w:rPr>
              <w:t>Amount Cancelled</w:t>
            </w:r>
          </w:p>
        </w:tc>
      </w:tr>
      <w:tr w:rsidR="00232288" w:rsidRPr="00232288" w14:paraId="34AC19AA" w14:textId="77777777" w:rsidTr="0015344A">
        <w:trPr>
          <w:trHeight w:val="315"/>
        </w:trPr>
        <w:tc>
          <w:tcPr>
            <w:tcW w:w="1705" w:type="dxa"/>
            <w:vAlign w:val="center"/>
            <w:hideMark/>
          </w:tcPr>
          <w:p w14:paraId="12DEFC18" w14:textId="77777777" w:rsidR="00232288" w:rsidRPr="00232288" w:rsidRDefault="00232288" w:rsidP="00232288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  <w:u w:val="single"/>
              </w:rPr>
              <w:t>Number</w:t>
            </w:r>
          </w:p>
        </w:tc>
        <w:tc>
          <w:tcPr>
            <w:tcW w:w="4341" w:type="dxa"/>
            <w:vAlign w:val="center"/>
            <w:hideMark/>
          </w:tcPr>
          <w:p w14:paraId="0F79DFFE" w14:textId="09A2091B" w:rsidR="00232288" w:rsidRPr="00232288" w:rsidRDefault="00232288" w:rsidP="00232288">
            <w:pPr>
              <w:jc w:val="center"/>
              <w:rPr>
                <w:color w:val="000000"/>
                <w:sz w:val="22"/>
                <w:szCs w:val="22"/>
              </w:rPr>
            </w:pPr>
            <w:r w:rsidRPr="00232288">
              <w:rPr>
                <w:color w:val="000000"/>
                <w:spacing w:val="-2"/>
                <w:sz w:val="22"/>
                <w:szCs w:val="22"/>
                <w:u w:val="single"/>
              </w:rPr>
              <w:t>Description</w:t>
            </w:r>
          </w:p>
        </w:tc>
        <w:tc>
          <w:tcPr>
            <w:tcW w:w="1427" w:type="dxa"/>
            <w:vAlign w:val="center"/>
            <w:hideMark/>
          </w:tcPr>
          <w:p w14:paraId="5192BA63" w14:textId="77777777" w:rsidR="00232288" w:rsidRPr="00232288" w:rsidRDefault="00232288" w:rsidP="00232288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  <w:u w:val="single"/>
              </w:rPr>
              <w:t>Funded</w:t>
            </w:r>
          </w:p>
        </w:tc>
        <w:tc>
          <w:tcPr>
            <w:tcW w:w="1605" w:type="dxa"/>
            <w:vAlign w:val="center"/>
            <w:hideMark/>
          </w:tcPr>
          <w:p w14:paraId="05053AC4" w14:textId="77777777" w:rsidR="00232288" w:rsidRPr="00232288" w:rsidRDefault="00232288" w:rsidP="00232288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  <w:u w:val="single"/>
              </w:rPr>
              <w:t>Unfunded</w:t>
            </w:r>
          </w:p>
        </w:tc>
      </w:tr>
      <w:tr w:rsidR="00232288" w:rsidRPr="00232288" w14:paraId="153546D9" w14:textId="77777777" w:rsidTr="0015344A">
        <w:trPr>
          <w:trHeight w:val="315"/>
        </w:trPr>
        <w:tc>
          <w:tcPr>
            <w:tcW w:w="1705" w:type="dxa"/>
            <w:vAlign w:val="center"/>
          </w:tcPr>
          <w:p w14:paraId="49616BE5" w14:textId="18FCCAAE" w:rsidR="00232288" w:rsidRPr="00232288" w:rsidRDefault="009F5E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26-2006</w:t>
            </w:r>
          </w:p>
        </w:tc>
        <w:tc>
          <w:tcPr>
            <w:tcW w:w="4341" w:type="dxa"/>
            <w:vAlign w:val="center"/>
          </w:tcPr>
          <w:p w14:paraId="39750190" w14:textId="3B609C98" w:rsidR="00232288" w:rsidRPr="00232288" w:rsidRDefault="00184F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Installation of Sanitary Sewer Lines Along Elizabeth and William Street</w:t>
            </w:r>
          </w:p>
        </w:tc>
        <w:tc>
          <w:tcPr>
            <w:tcW w:w="1427" w:type="dxa"/>
            <w:vAlign w:val="center"/>
          </w:tcPr>
          <w:p w14:paraId="58C9D531" w14:textId="24CDEA5E" w:rsidR="009F5EFD" w:rsidRPr="00232288" w:rsidRDefault="009F5E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$46,899.20</w:t>
            </w:r>
          </w:p>
        </w:tc>
        <w:tc>
          <w:tcPr>
            <w:tcW w:w="1605" w:type="dxa"/>
            <w:vAlign w:val="center"/>
          </w:tcPr>
          <w:p w14:paraId="52049782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</w:p>
        </w:tc>
      </w:tr>
      <w:tr w:rsidR="00232288" w:rsidRPr="00232288" w14:paraId="4A25D6AD" w14:textId="77777777" w:rsidTr="0015344A">
        <w:trPr>
          <w:trHeight w:val="315"/>
        </w:trPr>
        <w:tc>
          <w:tcPr>
            <w:tcW w:w="1705" w:type="dxa"/>
            <w:vAlign w:val="center"/>
          </w:tcPr>
          <w:p w14:paraId="228BB8DD" w14:textId="5DA2B919" w:rsidR="00232288" w:rsidRPr="00232288" w:rsidRDefault="00184F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20-2020</w:t>
            </w:r>
          </w:p>
        </w:tc>
        <w:tc>
          <w:tcPr>
            <w:tcW w:w="4341" w:type="dxa"/>
            <w:vAlign w:val="center"/>
          </w:tcPr>
          <w:p w14:paraId="653FB66C" w14:textId="7CB3C2EA" w:rsidR="00232288" w:rsidRPr="00232288" w:rsidRDefault="00184F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Various C</w:t>
            </w:r>
            <w:r w:rsidR="0015344A"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>pital Acquisitions and Improvements</w:t>
            </w:r>
          </w:p>
        </w:tc>
        <w:tc>
          <w:tcPr>
            <w:tcW w:w="1427" w:type="dxa"/>
            <w:vAlign w:val="center"/>
          </w:tcPr>
          <w:p w14:paraId="584639A8" w14:textId="18162EB2" w:rsidR="00232288" w:rsidRPr="00232288" w:rsidRDefault="00184F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$252,154.41</w:t>
            </w:r>
          </w:p>
        </w:tc>
        <w:tc>
          <w:tcPr>
            <w:tcW w:w="1605" w:type="dxa"/>
            <w:vAlign w:val="center"/>
          </w:tcPr>
          <w:p w14:paraId="191EB581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</w:p>
        </w:tc>
      </w:tr>
      <w:tr w:rsidR="00232288" w:rsidRPr="00232288" w14:paraId="096FC3E6" w14:textId="77777777" w:rsidTr="0015344A">
        <w:trPr>
          <w:trHeight w:val="315"/>
        </w:trPr>
        <w:tc>
          <w:tcPr>
            <w:tcW w:w="1705" w:type="dxa"/>
            <w:vAlign w:val="center"/>
          </w:tcPr>
          <w:p w14:paraId="28A98942" w14:textId="6298BB37" w:rsidR="00232288" w:rsidRPr="00232288" w:rsidRDefault="001534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8-2022/19-2023</w:t>
            </w:r>
          </w:p>
        </w:tc>
        <w:tc>
          <w:tcPr>
            <w:tcW w:w="4341" w:type="dxa"/>
            <w:vAlign w:val="center"/>
          </w:tcPr>
          <w:p w14:paraId="0B037DB9" w14:textId="43E5F38E" w:rsidR="00232288" w:rsidRPr="00232288" w:rsidRDefault="001534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Various Capital Acquisitions and Improvements</w:t>
            </w:r>
          </w:p>
        </w:tc>
        <w:tc>
          <w:tcPr>
            <w:tcW w:w="1427" w:type="dxa"/>
            <w:vAlign w:val="center"/>
          </w:tcPr>
          <w:p w14:paraId="1FFAE665" w14:textId="2C25E4F9" w:rsidR="00232288" w:rsidRPr="00232288" w:rsidRDefault="007F70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$196,734.63</w:t>
            </w:r>
          </w:p>
        </w:tc>
        <w:tc>
          <w:tcPr>
            <w:tcW w:w="1605" w:type="dxa"/>
            <w:vAlign w:val="center"/>
          </w:tcPr>
          <w:p w14:paraId="77656F67" w14:textId="77777777" w:rsidR="00232288" w:rsidRPr="00232288" w:rsidRDefault="00232288">
            <w:pPr>
              <w:rPr>
                <w:color w:val="000000"/>
                <w:sz w:val="22"/>
                <w:szCs w:val="22"/>
              </w:rPr>
            </w:pPr>
          </w:p>
        </w:tc>
      </w:tr>
      <w:tr w:rsidR="00232288" w:rsidRPr="00232288" w14:paraId="229C579E" w14:textId="77777777" w:rsidTr="0015344A">
        <w:trPr>
          <w:trHeight w:val="315"/>
        </w:trPr>
        <w:tc>
          <w:tcPr>
            <w:tcW w:w="1705" w:type="dxa"/>
            <w:vAlign w:val="center"/>
          </w:tcPr>
          <w:p w14:paraId="1FBAFD3D" w14:textId="73E2B56D" w:rsidR="00232288" w:rsidRPr="00232288" w:rsidRDefault="007F70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18-2023</w:t>
            </w:r>
          </w:p>
        </w:tc>
        <w:tc>
          <w:tcPr>
            <w:tcW w:w="4341" w:type="dxa"/>
            <w:vAlign w:val="center"/>
          </w:tcPr>
          <w:p w14:paraId="6391C6DA" w14:textId="4E7F7041" w:rsidR="00232288" w:rsidRPr="00232288" w:rsidRDefault="007F70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Asset Management Plan</w:t>
            </w:r>
          </w:p>
        </w:tc>
        <w:tc>
          <w:tcPr>
            <w:tcW w:w="1427" w:type="dxa"/>
            <w:vAlign w:val="center"/>
          </w:tcPr>
          <w:p w14:paraId="6A869426" w14:textId="0FD7194C" w:rsidR="00232288" w:rsidRPr="00232288" w:rsidRDefault="007F70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$3,000.00</w:t>
            </w:r>
          </w:p>
        </w:tc>
        <w:tc>
          <w:tcPr>
            <w:tcW w:w="1605" w:type="dxa"/>
            <w:vAlign w:val="center"/>
          </w:tcPr>
          <w:p w14:paraId="47EE78C7" w14:textId="2659B299" w:rsidR="00232288" w:rsidRPr="00232288" w:rsidRDefault="00232288">
            <w:pPr>
              <w:rPr>
                <w:color w:val="000000"/>
                <w:sz w:val="22"/>
                <w:szCs w:val="22"/>
              </w:rPr>
            </w:pPr>
          </w:p>
        </w:tc>
      </w:tr>
      <w:tr w:rsidR="00232288" w:rsidRPr="00232288" w14:paraId="17A0285D" w14:textId="77777777" w:rsidTr="0015344A">
        <w:trPr>
          <w:trHeight w:val="330"/>
        </w:trPr>
        <w:tc>
          <w:tcPr>
            <w:tcW w:w="1705" w:type="dxa"/>
            <w:vAlign w:val="center"/>
            <w:hideMark/>
          </w:tcPr>
          <w:p w14:paraId="56D58626" w14:textId="77777777" w:rsidR="00232288" w:rsidRPr="00232288" w:rsidRDefault="00232288">
            <w:pPr>
              <w:rPr>
                <w:sz w:val="22"/>
                <w:szCs w:val="22"/>
              </w:rPr>
            </w:pPr>
          </w:p>
        </w:tc>
        <w:tc>
          <w:tcPr>
            <w:tcW w:w="4341" w:type="dxa"/>
            <w:vAlign w:val="center"/>
            <w:hideMark/>
          </w:tcPr>
          <w:p w14:paraId="588852F8" w14:textId="77777777" w:rsidR="00232288" w:rsidRPr="00232288" w:rsidRDefault="0023228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Align w:val="center"/>
            <w:hideMark/>
          </w:tcPr>
          <w:p w14:paraId="00E3D4E8" w14:textId="3625ABFB" w:rsidR="00232288" w:rsidRPr="00171C2A" w:rsidRDefault="00232288">
            <w:pPr>
              <w:rPr>
                <w:color w:val="000000"/>
                <w:sz w:val="22"/>
                <w:szCs w:val="22"/>
                <w:highlight w:val="yellow"/>
                <w:u w:val="double"/>
              </w:rPr>
            </w:pPr>
            <w:r w:rsidRPr="007F70F3">
              <w:rPr>
                <w:bCs/>
                <w:color w:val="000000"/>
                <w:spacing w:val="-2"/>
                <w:sz w:val="22"/>
                <w:szCs w:val="22"/>
                <w:u w:val="double"/>
              </w:rPr>
              <w:t xml:space="preserve"> $</w:t>
            </w:r>
            <w:r w:rsidR="007F70F3" w:rsidRPr="007F70F3">
              <w:rPr>
                <w:bCs/>
                <w:color w:val="000000"/>
                <w:spacing w:val="-2"/>
                <w:sz w:val="22"/>
                <w:szCs w:val="22"/>
                <w:u w:val="double"/>
              </w:rPr>
              <w:t>498,788.24</w:t>
            </w:r>
            <w:r w:rsidRPr="007F70F3">
              <w:rPr>
                <w:bCs/>
                <w:color w:val="000000"/>
                <w:spacing w:val="-2"/>
                <w:sz w:val="22"/>
                <w:szCs w:val="22"/>
                <w:u w:val="double"/>
              </w:rPr>
              <w:t xml:space="preserve"> </w:t>
            </w:r>
          </w:p>
        </w:tc>
        <w:tc>
          <w:tcPr>
            <w:tcW w:w="1605" w:type="dxa"/>
            <w:vAlign w:val="center"/>
            <w:hideMark/>
          </w:tcPr>
          <w:p w14:paraId="3F6B6F78" w14:textId="7C09E6B0" w:rsidR="00232288" w:rsidRPr="00171C2A" w:rsidRDefault="007F70F3" w:rsidP="007F70F3">
            <w:pPr>
              <w:jc w:val="center"/>
              <w:rPr>
                <w:color w:val="000000"/>
                <w:sz w:val="22"/>
                <w:szCs w:val="22"/>
                <w:highlight w:val="yellow"/>
                <w:u w:val="double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  <w:u w:val="double"/>
              </w:rPr>
              <w:t>$</w:t>
            </w:r>
            <w:r w:rsidRPr="007F70F3">
              <w:rPr>
                <w:bCs/>
                <w:color w:val="000000"/>
                <w:spacing w:val="-2"/>
                <w:sz w:val="22"/>
                <w:szCs w:val="22"/>
                <w:u w:val="double"/>
              </w:rPr>
              <w:t>0</w:t>
            </w:r>
          </w:p>
        </w:tc>
      </w:tr>
    </w:tbl>
    <w:p w14:paraId="3569DE46" w14:textId="77777777" w:rsidR="00A3725C" w:rsidRPr="00A3725C" w:rsidRDefault="00A3725C" w:rsidP="00A3725C">
      <w:pPr>
        <w:rPr>
          <w:bCs/>
          <w:spacing w:val="-2"/>
          <w:sz w:val="24"/>
          <w:szCs w:val="24"/>
        </w:rPr>
      </w:pPr>
    </w:p>
    <w:p w14:paraId="78B34C50" w14:textId="75B8F61A" w:rsidR="00DB51D9" w:rsidRPr="009D4381" w:rsidRDefault="00DB51D9">
      <w:pPr>
        <w:rPr>
          <w:b/>
          <w:spacing w:val="-2"/>
          <w:sz w:val="24"/>
          <w:szCs w:val="24"/>
        </w:rPr>
      </w:pPr>
    </w:p>
    <w:p w14:paraId="3980EF7C" w14:textId="654A7691" w:rsidR="00A3725C" w:rsidRPr="00A3725C" w:rsidRDefault="00A3725C" w:rsidP="00A3725C">
      <w:pPr>
        <w:rPr>
          <w:bCs/>
          <w:spacing w:val="-2"/>
          <w:sz w:val="24"/>
          <w:szCs w:val="24"/>
        </w:rPr>
      </w:pPr>
      <w:r w:rsidRPr="009D4381">
        <w:rPr>
          <w:b/>
          <w:spacing w:val="-2"/>
          <w:sz w:val="24"/>
          <w:szCs w:val="24"/>
        </w:rPr>
        <w:t>BE IT FURTHER RESOLVED</w:t>
      </w:r>
      <w:r w:rsidRPr="00A3725C">
        <w:rPr>
          <w:bCs/>
          <w:spacing w:val="-2"/>
          <w:sz w:val="24"/>
          <w:szCs w:val="24"/>
        </w:rPr>
        <w:t xml:space="preserve">, the Mayor and Council of the Borough of </w:t>
      </w:r>
      <w:r w:rsidR="00387979">
        <w:rPr>
          <w:bCs/>
          <w:spacing w:val="-2"/>
          <w:sz w:val="24"/>
          <w:szCs w:val="24"/>
        </w:rPr>
        <w:t>Bloomingdale</w:t>
      </w:r>
      <w:r w:rsidRPr="00A3725C">
        <w:rPr>
          <w:bCs/>
          <w:spacing w:val="-2"/>
          <w:sz w:val="24"/>
          <w:szCs w:val="24"/>
        </w:rPr>
        <w:t>, County of Passaic, State of New Jersey that the Chief Financial Officer is hereby authorized and directed to cancel the above listed unused funded and unfunded improvement authorizations totaling $</w:t>
      </w:r>
      <w:r w:rsidR="007F70F3">
        <w:rPr>
          <w:bCs/>
          <w:spacing w:val="-2"/>
          <w:sz w:val="24"/>
          <w:szCs w:val="24"/>
          <w:u w:val="double"/>
        </w:rPr>
        <w:t>498.788.24</w:t>
      </w:r>
      <w:r w:rsidR="00232288">
        <w:rPr>
          <w:bCs/>
          <w:spacing w:val="-2"/>
          <w:sz w:val="24"/>
          <w:szCs w:val="24"/>
          <w:u w:val="double"/>
        </w:rPr>
        <w:t>.</w:t>
      </w:r>
    </w:p>
    <w:p w14:paraId="4C74EE63" w14:textId="11827A9A" w:rsidR="003E5FFD" w:rsidRPr="000910E3" w:rsidRDefault="003E5FFD" w:rsidP="004731F1">
      <w:pPr>
        <w:rPr>
          <w:sz w:val="24"/>
          <w:szCs w:val="24"/>
        </w:rPr>
      </w:pPr>
    </w:p>
    <w:p w14:paraId="2C65C618" w14:textId="77777777" w:rsidR="00ED7C86" w:rsidRPr="00104C9D" w:rsidRDefault="00ED7C86" w:rsidP="00ED7C86">
      <w:pPr>
        <w:keepNext/>
        <w:jc w:val="center"/>
        <w:outlineLvl w:val="1"/>
        <w:rPr>
          <w:rFonts w:eastAsia="Calibri"/>
          <w:b/>
          <w:i/>
        </w:rPr>
      </w:pPr>
      <w:r w:rsidRPr="00104C9D">
        <w:rPr>
          <w:rFonts w:eastAsia="Calibri"/>
          <w:b/>
          <w:i/>
          <w:szCs w:val="24"/>
        </w:rPr>
        <w:t>Record of Council Vote on Passage</w:t>
      </w:r>
    </w:p>
    <w:tbl>
      <w:tblPr>
        <w:tblW w:w="990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ED7C86" w:rsidRPr="00104C9D" w14:paraId="6F55B60B" w14:textId="77777777" w:rsidTr="009038B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D504C" w14:textId="77777777" w:rsidR="00ED7C86" w:rsidRPr="00104C9D" w:rsidRDefault="00ED7C86" w:rsidP="00DD37AF">
            <w:pPr>
              <w:spacing w:line="276" w:lineRule="auto"/>
              <w:rPr>
                <w:rFonts w:eastAsia="Calibri"/>
                <w:caps/>
                <w:sz w:val="18"/>
                <w:szCs w:val="18"/>
              </w:rPr>
            </w:pPr>
            <w:r w:rsidRPr="00104C9D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E5BB0" w14:textId="77777777" w:rsidR="00ED7C86" w:rsidRPr="00104C9D" w:rsidRDefault="00ED7C86" w:rsidP="00DD37AF">
            <w:pPr>
              <w:spacing w:line="276" w:lineRule="auto"/>
              <w:rPr>
                <w:rFonts w:eastAsia="Calibri"/>
                <w:caps/>
                <w:sz w:val="18"/>
                <w:szCs w:val="18"/>
              </w:rPr>
            </w:pPr>
            <w:r w:rsidRPr="00104C9D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02DE1" w14:textId="77777777" w:rsidR="00ED7C86" w:rsidRPr="00104C9D" w:rsidRDefault="00ED7C86" w:rsidP="00DD37AF">
            <w:pPr>
              <w:spacing w:line="276" w:lineRule="auto"/>
              <w:rPr>
                <w:rFonts w:eastAsia="Calibri"/>
                <w:caps/>
                <w:sz w:val="18"/>
                <w:szCs w:val="18"/>
              </w:rPr>
            </w:pPr>
            <w:r w:rsidRPr="00104C9D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CDA64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04C9D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31D60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04C9D">
              <w:rPr>
                <w:rFonts w:eastAsia="Calibri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AA6D8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04C9D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F846F" w14:textId="77777777" w:rsidR="00ED7C86" w:rsidRPr="00104C9D" w:rsidRDefault="00ED7C86" w:rsidP="00DD37AF">
            <w:pPr>
              <w:spacing w:line="276" w:lineRule="auto"/>
              <w:rPr>
                <w:rFonts w:eastAsia="Calibri"/>
                <w:caps/>
                <w:sz w:val="18"/>
                <w:szCs w:val="18"/>
              </w:rPr>
            </w:pPr>
            <w:r w:rsidRPr="00104C9D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8799B" w14:textId="77777777" w:rsidR="00ED7C86" w:rsidRPr="00104C9D" w:rsidRDefault="00ED7C86" w:rsidP="00DD37AF">
            <w:pPr>
              <w:spacing w:line="276" w:lineRule="auto"/>
              <w:rPr>
                <w:rFonts w:eastAsia="Calibri"/>
                <w:caps/>
                <w:sz w:val="18"/>
                <w:szCs w:val="18"/>
              </w:rPr>
            </w:pPr>
            <w:r w:rsidRPr="00104C9D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DFCA2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04C9D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1BE13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04C9D">
              <w:rPr>
                <w:rFonts w:eastAsia="Calibri"/>
                <w:sz w:val="18"/>
                <w:szCs w:val="18"/>
              </w:rPr>
              <w:t>Absent</w:t>
            </w:r>
          </w:p>
        </w:tc>
      </w:tr>
      <w:tr w:rsidR="00ED7C86" w:rsidRPr="00104C9D" w14:paraId="78B3EA56" w14:textId="77777777" w:rsidTr="009038B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5A75A" w14:textId="5622C33E" w:rsidR="00ED7C86" w:rsidRPr="00104C9D" w:rsidRDefault="009038B3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Bronkhurst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FC24" w14:textId="0EA9064E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BFC1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31E50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BCAE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91BFA" w14:textId="078E5312" w:rsidR="00ED7C86" w:rsidRPr="00104C9D" w:rsidRDefault="009038B3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2B93" w14:textId="0F078A06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B7382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AF22E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9B225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</w:tr>
      <w:tr w:rsidR="009038B3" w:rsidRPr="00104C9D" w14:paraId="25FE9420" w14:textId="77777777" w:rsidTr="009038B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EE96" w14:textId="0E3D0C5F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04C9D">
              <w:rPr>
                <w:rFonts w:eastAsia="Calibri"/>
                <w:sz w:val="18"/>
                <w:szCs w:val="18"/>
              </w:rPr>
              <w:t>Catalano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C861" w14:textId="05639D94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33E9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6975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7211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8B15F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04C9D">
              <w:rPr>
                <w:rFonts w:eastAsia="Calibri"/>
                <w:sz w:val="18"/>
                <w:szCs w:val="18"/>
              </w:rPr>
              <w:t>Schubert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95005" w14:textId="2F46C480" w:rsidR="009038B3" w:rsidRPr="00104C9D" w:rsidRDefault="009038B3" w:rsidP="009038B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FA6BB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C48BF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FA80C" w14:textId="77777777" w:rsidR="009038B3" w:rsidRPr="00104C9D" w:rsidRDefault="009038B3" w:rsidP="009038B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038B3" w:rsidRPr="00104C9D" w14:paraId="1EFE5B62" w14:textId="77777777" w:rsidTr="009038B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55935" w14:textId="2922E4DB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04C9D">
              <w:rPr>
                <w:rFonts w:eastAsia="Calibri"/>
                <w:sz w:val="18"/>
                <w:szCs w:val="18"/>
              </w:rPr>
              <w:t>Graziano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C07F7" w14:textId="59A0F5EE" w:rsidR="009038B3" w:rsidRPr="00104C9D" w:rsidRDefault="009038B3" w:rsidP="009038B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740A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246ED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B7BAC8" w14:textId="77777777" w:rsidR="009038B3" w:rsidRPr="00104C9D" w:rsidRDefault="009038B3" w:rsidP="009038B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5457A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04C9D">
              <w:rPr>
                <w:rFonts w:eastAsia="Calibri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235A" w14:textId="48ED1E71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045B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F253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816C4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</w:tr>
    </w:tbl>
    <w:p w14:paraId="1F0493F2" w14:textId="77777777" w:rsidR="00ED7C86" w:rsidRPr="00104C9D" w:rsidRDefault="00ED7C86" w:rsidP="00ED7C86">
      <w:pPr>
        <w:rPr>
          <w:rFonts w:eastAsia="Calibri"/>
          <w:sz w:val="18"/>
          <w:szCs w:val="18"/>
        </w:rPr>
      </w:pPr>
    </w:p>
    <w:p w14:paraId="0DAC807C" w14:textId="0D0F4DE2" w:rsidR="00ED7C86" w:rsidRPr="00104C9D" w:rsidRDefault="00ED7C86" w:rsidP="00ED7C86">
      <w:pPr>
        <w:rPr>
          <w:rFonts w:eastAsia="Calibri"/>
          <w:sz w:val="18"/>
          <w:szCs w:val="18"/>
        </w:rPr>
      </w:pPr>
      <w:r w:rsidRPr="00104C9D">
        <w:rPr>
          <w:rFonts w:eastAsia="Calibri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750690" w:rsidRPr="007F70F3">
        <w:rPr>
          <w:rFonts w:eastAsia="Calibri"/>
          <w:sz w:val="18"/>
          <w:szCs w:val="18"/>
        </w:rPr>
        <w:t>Novem</w:t>
      </w:r>
      <w:r w:rsidR="00387979" w:rsidRPr="007F70F3">
        <w:rPr>
          <w:rFonts w:eastAsia="Calibri"/>
          <w:sz w:val="18"/>
          <w:szCs w:val="18"/>
        </w:rPr>
        <w:t>ber 2</w:t>
      </w:r>
      <w:r w:rsidR="00750690" w:rsidRPr="007F70F3">
        <w:rPr>
          <w:rFonts w:eastAsia="Calibri"/>
          <w:sz w:val="18"/>
          <w:szCs w:val="18"/>
        </w:rPr>
        <w:t>5</w:t>
      </w:r>
      <w:r w:rsidR="009038B3">
        <w:rPr>
          <w:rFonts w:eastAsia="Calibri"/>
          <w:sz w:val="18"/>
          <w:szCs w:val="18"/>
        </w:rPr>
        <w:t>,2025</w:t>
      </w:r>
      <w:r w:rsidRPr="00104C9D">
        <w:rPr>
          <w:rFonts w:eastAsia="Calibri"/>
          <w:sz w:val="18"/>
          <w:szCs w:val="18"/>
        </w:rPr>
        <w:t>.</w:t>
      </w:r>
    </w:p>
    <w:p w14:paraId="2DC9D928" w14:textId="77777777" w:rsidR="00ED7C86" w:rsidRPr="00104C9D" w:rsidRDefault="00ED7C86" w:rsidP="00ED7C86">
      <w:pPr>
        <w:rPr>
          <w:rFonts w:eastAsia="Calibri"/>
          <w:sz w:val="18"/>
          <w:szCs w:val="18"/>
        </w:rPr>
      </w:pPr>
    </w:p>
    <w:p w14:paraId="339CB1A4" w14:textId="77777777" w:rsidR="00ED7C86" w:rsidRPr="00104C9D" w:rsidRDefault="00ED7C86" w:rsidP="00ED7C86">
      <w:pPr>
        <w:rPr>
          <w:rFonts w:eastAsia="Calibri"/>
          <w:sz w:val="18"/>
          <w:szCs w:val="18"/>
        </w:rPr>
      </w:pPr>
    </w:p>
    <w:p w14:paraId="1D57BFD0" w14:textId="77777777" w:rsidR="00ED7C86" w:rsidRPr="00104C9D" w:rsidRDefault="00ED7C86" w:rsidP="00ED7C86">
      <w:pPr>
        <w:rPr>
          <w:rFonts w:eastAsia="Calibri"/>
          <w:sz w:val="18"/>
          <w:szCs w:val="18"/>
        </w:rPr>
      </w:pPr>
    </w:p>
    <w:p w14:paraId="4A66633B" w14:textId="77777777" w:rsidR="00ED7C86" w:rsidRPr="00104C9D" w:rsidRDefault="00ED7C86" w:rsidP="00ED7C86">
      <w:pPr>
        <w:rPr>
          <w:rFonts w:eastAsia="Calibri"/>
          <w:sz w:val="18"/>
          <w:szCs w:val="18"/>
        </w:rPr>
      </w:pPr>
    </w:p>
    <w:p w14:paraId="54F9B203" w14:textId="77777777" w:rsidR="00ED7C86" w:rsidRPr="00104C9D" w:rsidRDefault="00ED7C86" w:rsidP="00ED7C86">
      <w:pPr>
        <w:rPr>
          <w:rFonts w:eastAsia="Calibri"/>
          <w:sz w:val="18"/>
          <w:szCs w:val="18"/>
        </w:rPr>
      </w:pPr>
      <w:r w:rsidRPr="00104C9D">
        <w:rPr>
          <w:rFonts w:eastAsia="Calibri"/>
          <w:sz w:val="18"/>
          <w:szCs w:val="18"/>
        </w:rPr>
        <w:t>___________________________________</w:t>
      </w:r>
    </w:p>
    <w:p w14:paraId="0A2F064B" w14:textId="77777777" w:rsidR="00ED7C86" w:rsidRPr="00104C9D" w:rsidRDefault="00ED7C86" w:rsidP="00ED7C86">
      <w:pPr>
        <w:rPr>
          <w:rFonts w:eastAsia="Calibri"/>
          <w:sz w:val="18"/>
          <w:szCs w:val="18"/>
        </w:rPr>
      </w:pPr>
      <w:r w:rsidRPr="00104C9D">
        <w:rPr>
          <w:rFonts w:eastAsia="Calibri"/>
          <w:sz w:val="18"/>
          <w:szCs w:val="18"/>
        </w:rPr>
        <w:t>Breeanna Smith, RMC</w:t>
      </w:r>
    </w:p>
    <w:p w14:paraId="39D971B3" w14:textId="0D66F459" w:rsidR="000663A6" w:rsidRPr="00ED7C86" w:rsidRDefault="00ED7C86" w:rsidP="000663A6">
      <w:pPr>
        <w:rPr>
          <w:rFonts w:eastAsia="Calibri"/>
          <w:szCs w:val="24"/>
        </w:rPr>
      </w:pPr>
      <w:r w:rsidRPr="00104C9D">
        <w:rPr>
          <w:rFonts w:eastAsia="Calibri"/>
          <w:sz w:val="18"/>
          <w:szCs w:val="18"/>
        </w:rPr>
        <w:t>Municipal Clerk, Borough of Bloomingdale</w:t>
      </w:r>
      <w:r w:rsidRPr="00104C9D">
        <w:rPr>
          <w:rFonts w:eastAsia="Calibri"/>
          <w:szCs w:val="24"/>
        </w:rPr>
        <w:t xml:space="preserve"> </w:t>
      </w:r>
    </w:p>
    <w:sectPr w:rsidR="000663A6" w:rsidRPr="00ED7C86" w:rsidSect="00ED7C8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A6"/>
    <w:rsid w:val="00003C42"/>
    <w:rsid w:val="000202F7"/>
    <w:rsid w:val="00023F12"/>
    <w:rsid w:val="00041C4E"/>
    <w:rsid w:val="00044171"/>
    <w:rsid w:val="00047589"/>
    <w:rsid w:val="000663A6"/>
    <w:rsid w:val="000910E3"/>
    <w:rsid w:val="00093450"/>
    <w:rsid w:val="00096F5D"/>
    <w:rsid w:val="000A471A"/>
    <w:rsid w:val="000C37B3"/>
    <w:rsid w:val="000C6405"/>
    <w:rsid w:val="000E21C5"/>
    <w:rsid w:val="0015344A"/>
    <w:rsid w:val="0015346B"/>
    <w:rsid w:val="00171C2A"/>
    <w:rsid w:val="00184F37"/>
    <w:rsid w:val="00190892"/>
    <w:rsid w:val="00195F21"/>
    <w:rsid w:val="001B13FD"/>
    <w:rsid w:val="001B43FB"/>
    <w:rsid w:val="001D5138"/>
    <w:rsid w:val="00232288"/>
    <w:rsid w:val="00283550"/>
    <w:rsid w:val="002947A8"/>
    <w:rsid w:val="00313D54"/>
    <w:rsid w:val="00380256"/>
    <w:rsid w:val="00387979"/>
    <w:rsid w:val="003B460A"/>
    <w:rsid w:val="003B5E24"/>
    <w:rsid w:val="003C5208"/>
    <w:rsid w:val="003E5FFD"/>
    <w:rsid w:val="004051C3"/>
    <w:rsid w:val="00412FFF"/>
    <w:rsid w:val="00436EC1"/>
    <w:rsid w:val="0046464D"/>
    <w:rsid w:val="004731F1"/>
    <w:rsid w:val="00481DDD"/>
    <w:rsid w:val="004A2E3F"/>
    <w:rsid w:val="004E31B4"/>
    <w:rsid w:val="004F2E66"/>
    <w:rsid w:val="00547459"/>
    <w:rsid w:val="005E26F1"/>
    <w:rsid w:val="006078BF"/>
    <w:rsid w:val="006160C1"/>
    <w:rsid w:val="0068399E"/>
    <w:rsid w:val="00743927"/>
    <w:rsid w:val="00750690"/>
    <w:rsid w:val="00767208"/>
    <w:rsid w:val="00771CAB"/>
    <w:rsid w:val="00773747"/>
    <w:rsid w:val="007B3A43"/>
    <w:rsid w:val="007F1AE3"/>
    <w:rsid w:val="007F3128"/>
    <w:rsid w:val="007F70F3"/>
    <w:rsid w:val="00823D72"/>
    <w:rsid w:val="008435CD"/>
    <w:rsid w:val="008446E0"/>
    <w:rsid w:val="008A4837"/>
    <w:rsid w:val="008B08BF"/>
    <w:rsid w:val="008D61A8"/>
    <w:rsid w:val="008D7FF3"/>
    <w:rsid w:val="008F25A9"/>
    <w:rsid w:val="008F6DD7"/>
    <w:rsid w:val="009038B3"/>
    <w:rsid w:val="00911070"/>
    <w:rsid w:val="00997378"/>
    <w:rsid w:val="009D4381"/>
    <w:rsid w:val="009D6A8F"/>
    <w:rsid w:val="009F5EFD"/>
    <w:rsid w:val="00A3560A"/>
    <w:rsid w:val="00A3725C"/>
    <w:rsid w:val="00A417FF"/>
    <w:rsid w:val="00A51E54"/>
    <w:rsid w:val="00A81769"/>
    <w:rsid w:val="00A823EA"/>
    <w:rsid w:val="00AA1B14"/>
    <w:rsid w:val="00AA2A31"/>
    <w:rsid w:val="00AB6FED"/>
    <w:rsid w:val="00AD76DE"/>
    <w:rsid w:val="00AE46C1"/>
    <w:rsid w:val="00AF6FDA"/>
    <w:rsid w:val="00B12EB9"/>
    <w:rsid w:val="00B55E40"/>
    <w:rsid w:val="00B76E7E"/>
    <w:rsid w:val="00C20639"/>
    <w:rsid w:val="00C44585"/>
    <w:rsid w:val="00C84B04"/>
    <w:rsid w:val="00C84D48"/>
    <w:rsid w:val="00CA3E0E"/>
    <w:rsid w:val="00CC5C34"/>
    <w:rsid w:val="00D156E2"/>
    <w:rsid w:val="00D32E14"/>
    <w:rsid w:val="00D435F9"/>
    <w:rsid w:val="00D62E3C"/>
    <w:rsid w:val="00D76882"/>
    <w:rsid w:val="00DB51D9"/>
    <w:rsid w:val="00DC56A9"/>
    <w:rsid w:val="00DD2D74"/>
    <w:rsid w:val="00E00F44"/>
    <w:rsid w:val="00E20DBD"/>
    <w:rsid w:val="00E24402"/>
    <w:rsid w:val="00E30F15"/>
    <w:rsid w:val="00E65E91"/>
    <w:rsid w:val="00E73895"/>
    <w:rsid w:val="00E93078"/>
    <w:rsid w:val="00ED7C86"/>
    <w:rsid w:val="00F02286"/>
    <w:rsid w:val="00FB3C96"/>
    <w:rsid w:val="00FD43D7"/>
    <w:rsid w:val="00FE329B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076C7"/>
  <w15:chartTrackingRefBased/>
  <w15:docId w15:val="{695F627E-A35C-4E17-8208-0A59EC40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63A6"/>
  </w:style>
  <w:style w:type="paragraph" w:styleId="Heading2">
    <w:name w:val="heading 2"/>
    <w:basedOn w:val="Normal"/>
    <w:next w:val="Normal"/>
    <w:link w:val="Heading2Char"/>
    <w:qFormat/>
    <w:rsid w:val="000663A6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0663A6"/>
    <w:pPr>
      <w:keepNext/>
      <w:ind w:left="432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C5208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4731F1"/>
    <w:rPr>
      <w:b/>
      <w:sz w:val="28"/>
    </w:rPr>
  </w:style>
  <w:style w:type="table" w:styleId="TableGrid">
    <w:name w:val="Table Grid"/>
    <w:basedOn w:val="TableNormal"/>
    <w:rsid w:val="00A3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2802</TotalTime>
  <Pages>1</Pages>
  <Words>242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 Capital Ord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 Capital Ord</dc:title>
  <dc:subject/>
  <dc:creator>dmollineaux</dc:creator>
  <cp:keywords/>
  <dc:description/>
  <cp:lastModifiedBy>Breeanna Smith</cp:lastModifiedBy>
  <cp:revision>5</cp:revision>
  <cp:lastPrinted>2025-08-29T15:51:00Z</cp:lastPrinted>
  <dcterms:created xsi:type="dcterms:W3CDTF">2025-11-06T14:31:00Z</dcterms:created>
  <dcterms:modified xsi:type="dcterms:W3CDTF">2025-11-22T00:39:00Z</dcterms:modified>
</cp:coreProperties>
</file>