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B8D6" w14:textId="0453DEA3" w:rsidR="0011015D" w:rsidRDefault="0011015D">
      <w:pPr>
        <w:jc w:val="center"/>
        <w:rPr>
          <w:b/>
          <w:sz w:val="24"/>
        </w:rPr>
      </w:pPr>
      <w:r>
        <w:rPr>
          <w:b/>
          <w:sz w:val="24"/>
        </w:rPr>
        <w:t>RESOLUTION</w:t>
      </w:r>
      <w:r w:rsidR="00D52CFD">
        <w:rPr>
          <w:b/>
          <w:sz w:val="24"/>
        </w:rPr>
        <w:t xml:space="preserve"> NO. </w:t>
      </w:r>
      <w:r w:rsidR="00776B1F">
        <w:rPr>
          <w:b/>
          <w:sz w:val="24"/>
        </w:rPr>
        <w:t>202</w:t>
      </w:r>
      <w:r w:rsidR="00C1099A">
        <w:rPr>
          <w:b/>
          <w:sz w:val="24"/>
        </w:rPr>
        <w:t>5</w:t>
      </w:r>
      <w:r w:rsidR="00A86CCE">
        <w:rPr>
          <w:b/>
          <w:sz w:val="24"/>
        </w:rPr>
        <w:t>-</w:t>
      </w:r>
      <w:r w:rsidR="00C1099A">
        <w:rPr>
          <w:b/>
          <w:sz w:val="24"/>
        </w:rPr>
        <w:t>1.X</w:t>
      </w:r>
    </w:p>
    <w:p w14:paraId="7F5DC8D3" w14:textId="77777777" w:rsidR="0011015D" w:rsidRDefault="0011015D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D52CFD">
        <w:rPr>
          <w:b/>
          <w:sz w:val="24"/>
        </w:rPr>
        <w:t xml:space="preserve"> OF</w:t>
      </w:r>
    </w:p>
    <w:p w14:paraId="4BEE33BF" w14:textId="77777777" w:rsidR="0011015D" w:rsidRDefault="0011015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0C441236" w14:textId="77777777" w:rsidR="0011015D" w:rsidRDefault="0011015D">
      <w:pPr>
        <w:rPr>
          <w:sz w:val="24"/>
        </w:rPr>
      </w:pPr>
    </w:p>
    <w:p w14:paraId="5AACD22C" w14:textId="2090C5CB" w:rsidR="0011015D" w:rsidRPr="00C1099A" w:rsidRDefault="0011015D" w:rsidP="00C1099A">
      <w:pPr>
        <w:jc w:val="center"/>
        <w:rPr>
          <w:b/>
          <w:sz w:val="24"/>
        </w:rPr>
      </w:pPr>
      <w:r w:rsidRPr="00D52CFD">
        <w:rPr>
          <w:b/>
          <w:sz w:val="24"/>
        </w:rPr>
        <w:t>Authorizing the Transfer of 20</w:t>
      </w:r>
      <w:r w:rsidR="00FB5338">
        <w:rPr>
          <w:b/>
          <w:sz w:val="24"/>
        </w:rPr>
        <w:t>2</w:t>
      </w:r>
      <w:r w:rsidR="00001DA2">
        <w:rPr>
          <w:b/>
          <w:sz w:val="24"/>
        </w:rPr>
        <w:t>4</w:t>
      </w:r>
      <w:r w:rsidRPr="00D52CFD">
        <w:rPr>
          <w:b/>
          <w:sz w:val="24"/>
        </w:rPr>
        <w:t xml:space="preserve"> Appropriations</w:t>
      </w:r>
      <w:r w:rsidR="000F74DB">
        <w:rPr>
          <w:b/>
          <w:sz w:val="24"/>
        </w:rPr>
        <w:t xml:space="preserve"> Reserves</w:t>
      </w:r>
    </w:p>
    <w:p w14:paraId="1206FF76" w14:textId="004CC2FD" w:rsidR="000F74DB" w:rsidRPr="000F74DB" w:rsidRDefault="000F74DB" w:rsidP="000F74DB">
      <w:pPr>
        <w:jc w:val="both"/>
        <w:rPr>
          <w:bCs/>
          <w:sz w:val="24"/>
        </w:rPr>
      </w:pPr>
    </w:p>
    <w:p w14:paraId="1E0027B5" w14:textId="3C087C66" w:rsidR="000F74DB" w:rsidRPr="000F74DB" w:rsidRDefault="000F74DB" w:rsidP="000F74DB">
      <w:pPr>
        <w:ind w:firstLine="270"/>
        <w:jc w:val="both"/>
        <w:rPr>
          <w:bCs/>
          <w:sz w:val="24"/>
        </w:rPr>
      </w:pPr>
      <w:r w:rsidRPr="000F74DB">
        <w:rPr>
          <w:b/>
          <w:sz w:val="24"/>
        </w:rPr>
        <w:t xml:space="preserve">WHEREAS, </w:t>
      </w:r>
      <w:r w:rsidRPr="000F74DB">
        <w:rPr>
          <w:bCs/>
          <w:sz w:val="24"/>
        </w:rPr>
        <w:t>N.J.S. 40A:4-59 provides that all unexpended balances carried</w:t>
      </w:r>
      <w:r>
        <w:rPr>
          <w:bCs/>
          <w:sz w:val="24"/>
        </w:rPr>
        <w:t xml:space="preserve"> </w:t>
      </w:r>
      <w:r w:rsidRPr="000F74DB">
        <w:rPr>
          <w:bCs/>
          <w:sz w:val="24"/>
        </w:rPr>
        <w:t>forward after the close of the fiscal year are available, until lapsed at the closed of the</w:t>
      </w:r>
      <w:r>
        <w:rPr>
          <w:bCs/>
          <w:sz w:val="24"/>
        </w:rPr>
        <w:t xml:space="preserve"> </w:t>
      </w:r>
      <w:r w:rsidRPr="000F74DB">
        <w:rPr>
          <w:bCs/>
          <w:sz w:val="24"/>
        </w:rPr>
        <w:t>succeeding year, to meet specific claims, commitments or contracts incurred during the</w:t>
      </w:r>
      <w:r>
        <w:rPr>
          <w:bCs/>
          <w:sz w:val="24"/>
        </w:rPr>
        <w:t xml:space="preserve"> </w:t>
      </w:r>
      <w:r w:rsidRPr="000F74DB">
        <w:rPr>
          <w:bCs/>
          <w:sz w:val="24"/>
        </w:rPr>
        <w:t>preceding fiscal year, and allow transfers to be made from unexpended balances to</w:t>
      </w:r>
      <w:r>
        <w:rPr>
          <w:bCs/>
          <w:sz w:val="24"/>
        </w:rPr>
        <w:t xml:space="preserve"> </w:t>
      </w:r>
      <w:r w:rsidRPr="000F74DB">
        <w:rPr>
          <w:bCs/>
          <w:sz w:val="24"/>
        </w:rPr>
        <w:t>those which are expected to be insufficient during the first three months of the</w:t>
      </w:r>
    </w:p>
    <w:p w14:paraId="3307BD66" w14:textId="2C992BAC" w:rsidR="0011015D" w:rsidRPr="000F74DB" w:rsidRDefault="000F74DB" w:rsidP="000F74DB">
      <w:pPr>
        <w:jc w:val="both"/>
        <w:rPr>
          <w:bCs/>
          <w:sz w:val="24"/>
        </w:rPr>
      </w:pPr>
      <w:r w:rsidRPr="000F74DB">
        <w:rPr>
          <w:bCs/>
          <w:sz w:val="24"/>
        </w:rPr>
        <w:t xml:space="preserve">succeeding </w:t>
      </w:r>
      <w:proofErr w:type="gramStart"/>
      <w:r w:rsidRPr="000F74DB">
        <w:rPr>
          <w:bCs/>
          <w:sz w:val="24"/>
        </w:rPr>
        <w:t>year;</w:t>
      </w:r>
      <w:proofErr w:type="gramEnd"/>
    </w:p>
    <w:p w14:paraId="4AF9BC9C" w14:textId="77777777" w:rsidR="0011015D" w:rsidRDefault="0011015D" w:rsidP="00D52CFD">
      <w:pPr>
        <w:jc w:val="both"/>
        <w:rPr>
          <w:sz w:val="24"/>
        </w:rPr>
      </w:pPr>
    </w:p>
    <w:p w14:paraId="69C57C3E" w14:textId="2DB838E0" w:rsidR="0011015D" w:rsidRDefault="0011015D" w:rsidP="00D52CFD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D52CFD">
        <w:rPr>
          <w:b/>
          <w:sz w:val="24"/>
        </w:rPr>
        <w:t>WHEREAS</w:t>
      </w:r>
      <w:r>
        <w:rPr>
          <w:sz w:val="24"/>
        </w:rPr>
        <w:t xml:space="preserve">, the Governing Body further finds and declares that the </w:t>
      </w:r>
      <w:r w:rsidR="00683B6E">
        <w:rPr>
          <w:sz w:val="24"/>
        </w:rPr>
        <w:t>Treasurer</w:t>
      </w:r>
      <w:r>
        <w:rPr>
          <w:sz w:val="24"/>
        </w:rPr>
        <w:t xml:space="preserve"> ha</w:t>
      </w:r>
      <w:r w:rsidR="00683B6E">
        <w:rPr>
          <w:sz w:val="24"/>
        </w:rPr>
        <w:t>s</w:t>
      </w:r>
      <w:r>
        <w:rPr>
          <w:sz w:val="24"/>
        </w:rPr>
        <w:t xml:space="preserve"> determined that the following transfers are both necessary and appropriate; and</w:t>
      </w:r>
    </w:p>
    <w:p w14:paraId="583C52FA" w14:textId="77777777" w:rsidR="0011015D" w:rsidRDefault="0011015D" w:rsidP="00D52CFD">
      <w:pPr>
        <w:jc w:val="both"/>
        <w:rPr>
          <w:sz w:val="24"/>
        </w:rPr>
      </w:pPr>
    </w:p>
    <w:p w14:paraId="1D4835B6" w14:textId="0500F54C" w:rsidR="0011015D" w:rsidRDefault="0011015D" w:rsidP="00D52CFD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D52CFD">
        <w:rPr>
          <w:b/>
          <w:sz w:val="24"/>
        </w:rPr>
        <w:t>NOW, THEREFORE, BE IT RESOLVED</w:t>
      </w:r>
      <w:r>
        <w:rPr>
          <w:sz w:val="24"/>
        </w:rPr>
        <w:t xml:space="preserve">, by the Governing Body of the Borough of Bloomingdale that the </w:t>
      </w:r>
      <w:r w:rsidR="00683B6E">
        <w:rPr>
          <w:sz w:val="24"/>
        </w:rPr>
        <w:t>Borough Treasurer</w:t>
      </w:r>
      <w:r>
        <w:rPr>
          <w:sz w:val="24"/>
        </w:rPr>
        <w:t xml:space="preserve"> is hereby authorized to make the following </w:t>
      </w:r>
      <w:r w:rsidR="00AB6F7E">
        <w:rPr>
          <w:sz w:val="24"/>
        </w:rPr>
        <w:t>transfer</w:t>
      </w:r>
      <w:r w:rsidR="000C35B9" w:rsidRPr="000C35B9">
        <w:rPr>
          <w:sz w:val="24"/>
        </w:rPr>
        <w:t xml:space="preserve">s in the amount of </w:t>
      </w:r>
      <w:r w:rsidR="000C35B9" w:rsidRPr="00E70809">
        <w:rPr>
          <w:sz w:val="24"/>
        </w:rPr>
        <w:t>$</w:t>
      </w:r>
      <w:r w:rsidR="00E70809" w:rsidRPr="00E70809">
        <w:rPr>
          <w:sz w:val="24"/>
        </w:rPr>
        <w:t>37</w:t>
      </w:r>
      <w:r w:rsidR="00E70809">
        <w:rPr>
          <w:sz w:val="24"/>
        </w:rPr>
        <w:t>,000</w:t>
      </w:r>
      <w:r w:rsidR="000C35B9" w:rsidRPr="000C35B9">
        <w:rPr>
          <w:sz w:val="24"/>
        </w:rPr>
        <w:t xml:space="preserve"> be made between the 20</w:t>
      </w:r>
      <w:r w:rsidR="00E70809">
        <w:rPr>
          <w:sz w:val="24"/>
        </w:rPr>
        <w:t>24</w:t>
      </w:r>
      <w:r w:rsidR="000C35B9" w:rsidRPr="000C35B9">
        <w:rPr>
          <w:sz w:val="24"/>
        </w:rPr>
        <w:t xml:space="preserve"> Budget Appropriation Reserves as follows</w:t>
      </w:r>
      <w:r w:rsidR="00AB6F7E">
        <w:rPr>
          <w:sz w:val="24"/>
        </w:rPr>
        <w:t>:</w:t>
      </w:r>
    </w:p>
    <w:p w14:paraId="506ED6A1" w14:textId="77777777" w:rsidR="00393F6D" w:rsidRDefault="00393F6D" w:rsidP="00D52CFD">
      <w:pPr>
        <w:jc w:val="both"/>
        <w:rPr>
          <w:sz w:val="24"/>
        </w:rPr>
      </w:pPr>
    </w:p>
    <w:p w14:paraId="76414860" w14:textId="77777777" w:rsidR="0011015D" w:rsidRDefault="0011015D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395"/>
        <w:gridCol w:w="3017"/>
      </w:tblGrid>
      <w:tr w:rsidR="00776B1F" w14:paraId="3A2F8AEA" w14:textId="77777777" w:rsidTr="008B57D5">
        <w:trPr>
          <w:trHeight w:val="341"/>
          <w:jc w:val="center"/>
        </w:trPr>
        <w:tc>
          <w:tcPr>
            <w:tcW w:w="4367" w:type="dxa"/>
          </w:tcPr>
          <w:p w14:paraId="41829318" w14:textId="1DF6B29A" w:rsidR="00776B1F" w:rsidRDefault="00D56BD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From</w:t>
            </w:r>
            <w:r w:rsidR="00776B1F">
              <w:rPr>
                <w:rFonts w:ascii="Arial" w:hAnsi="Arial"/>
                <w:b/>
              </w:rPr>
              <w:t>:</w:t>
            </w:r>
          </w:p>
        </w:tc>
        <w:tc>
          <w:tcPr>
            <w:tcW w:w="395" w:type="dxa"/>
          </w:tcPr>
          <w:p w14:paraId="4951E240" w14:textId="77777777" w:rsidR="00776B1F" w:rsidRDefault="00776B1F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694FEC77" w14:textId="77777777" w:rsidR="00776B1F" w:rsidRDefault="00776B1F">
            <w:pPr>
              <w:rPr>
                <w:rFonts w:ascii="Arial" w:hAnsi="Arial"/>
              </w:rPr>
            </w:pPr>
          </w:p>
        </w:tc>
      </w:tr>
      <w:tr w:rsidR="00EF3DE0" w14:paraId="712C7D47" w14:textId="77777777" w:rsidTr="008B57D5">
        <w:trPr>
          <w:trHeight w:val="311"/>
          <w:jc w:val="center"/>
        </w:trPr>
        <w:tc>
          <w:tcPr>
            <w:tcW w:w="4367" w:type="dxa"/>
          </w:tcPr>
          <w:p w14:paraId="012CBCA0" w14:textId="2AED013E" w:rsidR="00EF3DE0" w:rsidRDefault="00EF3DE0" w:rsidP="002B4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Engineering O/E</w:t>
            </w:r>
          </w:p>
        </w:tc>
        <w:tc>
          <w:tcPr>
            <w:tcW w:w="395" w:type="dxa"/>
          </w:tcPr>
          <w:p w14:paraId="2C4D0285" w14:textId="77777777" w:rsidR="00EF3DE0" w:rsidRDefault="00EF3DE0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21666B3B" w14:textId="4A17C1A9" w:rsidR="00EF3DE0" w:rsidRDefault="00EF3DE0" w:rsidP="00E0065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$           10,000.00</w:t>
            </w:r>
          </w:p>
        </w:tc>
      </w:tr>
      <w:tr w:rsidR="00A73CC1" w14:paraId="1EFB7332" w14:textId="77777777" w:rsidTr="008B57D5">
        <w:trPr>
          <w:trHeight w:val="311"/>
          <w:jc w:val="center"/>
        </w:trPr>
        <w:tc>
          <w:tcPr>
            <w:tcW w:w="4367" w:type="dxa"/>
          </w:tcPr>
          <w:p w14:paraId="0CFF09CB" w14:textId="3FF2EA42" w:rsidR="00A73CC1" w:rsidRDefault="00A73CC1" w:rsidP="002B4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Construction O/E</w:t>
            </w:r>
          </w:p>
        </w:tc>
        <w:tc>
          <w:tcPr>
            <w:tcW w:w="395" w:type="dxa"/>
          </w:tcPr>
          <w:p w14:paraId="2F276951" w14:textId="77777777" w:rsidR="00A73CC1" w:rsidRDefault="00A73CC1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16002796" w14:textId="56D6B7FF" w:rsidR="00A73CC1" w:rsidRDefault="00A73CC1" w:rsidP="00E0065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$           1</w:t>
            </w:r>
            <w:r w:rsidR="00E70809">
              <w:rPr>
                <w:rFonts w:ascii="Arial" w:hAnsi="Arial"/>
                <w:bCs/>
              </w:rPr>
              <w:t>0</w:t>
            </w:r>
            <w:r>
              <w:rPr>
                <w:rFonts w:ascii="Arial" w:hAnsi="Arial"/>
                <w:bCs/>
              </w:rPr>
              <w:t>,000.00</w:t>
            </w:r>
          </w:p>
        </w:tc>
      </w:tr>
      <w:tr w:rsidR="00A73CC1" w14:paraId="032053A1" w14:textId="77777777" w:rsidTr="008B57D5">
        <w:trPr>
          <w:trHeight w:val="311"/>
          <w:jc w:val="center"/>
        </w:trPr>
        <w:tc>
          <w:tcPr>
            <w:tcW w:w="4367" w:type="dxa"/>
          </w:tcPr>
          <w:p w14:paraId="49E21DA6" w14:textId="3C32A130" w:rsidR="00A73CC1" w:rsidRDefault="00A73CC1" w:rsidP="002B4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Shelter S/W</w:t>
            </w:r>
          </w:p>
        </w:tc>
        <w:tc>
          <w:tcPr>
            <w:tcW w:w="395" w:type="dxa"/>
          </w:tcPr>
          <w:p w14:paraId="02983B21" w14:textId="77777777" w:rsidR="00A73CC1" w:rsidRDefault="00A73CC1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252121F4" w14:textId="17FE44A7" w:rsidR="00A73CC1" w:rsidRDefault="00A73CC1" w:rsidP="00E0065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$            10,000.00</w:t>
            </w:r>
          </w:p>
        </w:tc>
      </w:tr>
      <w:tr w:rsidR="00A73CC1" w14:paraId="1FCF41DE" w14:textId="77777777" w:rsidTr="008B57D5">
        <w:trPr>
          <w:trHeight w:val="311"/>
          <w:jc w:val="center"/>
        </w:trPr>
        <w:tc>
          <w:tcPr>
            <w:tcW w:w="4367" w:type="dxa"/>
          </w:tcPr>
          <w:p w14:paraId="39FC6ED7" w14:textId="3E8758DF" w:rsidR="00A73CC1" w:rsidRDefault="00A73CC1" w:rsidP="002B4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Recreation O/E</w:t>
            </w:r>
          </w:p>
        </w:tc>
        <w:tc>
          <w:tcPr>
            <w:tcW w:w="395" w:type="dxa"/>
          </w:tcPr>
          <w:p w14:paraId="2435027A" w14:textId="77777777" w:rsidR="00A73CC1" w:rsidRDefault="00A73CC1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20ACCA07" w14:textId="066D5A0A" w:rsidR="00A73CC1" w:rsidRDefault="00A73CC1" w:rsidP="00E0065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$              </w:t>
            </w:r>
            <w:r w:rsidR="00E70809">
              <w:rPr>
                <w:rFonts w:ascii="Arial" w:hAnsi="Arial"/>
                <w:bCs/>
              </w:rPr>
              <w:t>4</w:t>
            </w:r>
            <w:r>
              <w:rPr>
                <w:rFonts w:ascii="Arial" w:hAnsi="Arial"/>
                <w:bCs/>
              </w:rPr>
              <w:t>,000.00</w:t>
            </w:r>
          </w:p>
        </w:tc>
      </w:tr>
      <w:tr w:rsidR="00A73CC1" w14:paraId="0D3649B9" w14:textId="77777777" w:rsidTr="008B57D5">
        <w:trPr>
          <w:trHeight w:val="311"/>
          <w:jc w:val="center"/>
        </w:trPr>
        <w:tc>
          <w:tcPr>
            <w:tcW w:w="4367" w:type="dxa"/>
          </w:tcPr>
          <w:p w14:paraId="0FF72568" w14:textId="065D039C" w:rsidR="00A73CC1" w:rsidRDefault="00A73CC1" w:rsidP="002B4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Celebration of Public Events O/E</w:t>
            </w:r>
          </w:p>
        </w:tc>
        <w:tc>
          <w:tcPr>
            <w:tcW w:w="395" w:type="dxa"/>
          </w:tcPr>
          <w:p w14:paraId="1762CFB1" w14:textId="77777777" w:rsidR="00A73CC1" w:rsidRDefault="00A73CC1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44C679AA" w14:textId="4D215FFA" w:rsidR="00A73CC1" w:rsidRDefault="00A73CC1" w:rsidP="00E0065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$              </w:t>
            </w:r>
            <w:r w:rsidR="00E70809">
              <w:rPr>
                <w:rFonts w:ascii="Arial" w:hAnsi="Arial"/>
                <w:bCs/>
              </w:rPr>
              <w:t>4</w:t>
            </w:r>
            <w:r>
              <w:rPr>
                <w:rFonts w:ascii="Arial" w:hAnsi="Arial"/>
                <w:bCs/>
              </w:rPr>
              <w:t>,000.00</w:t>
            </w:r>
          </w:p>
        </w:tc>
      </w:tr>
      <w:tr w:rsidR="00776B1F" w14:paraId="047907B1" w14:textId="77777777" w:rsidTr="008B57D5">
        <w:trPr>
          <w:trHeight w:val="273"/>
          <w:jc w:val="center"/>
        </w:trPr>
        <w:tc>
          <w:tcPr>
            <w:tcW w:w="4367" w:type="dxa"/>
          </w:tcPr>
          <w:p w14:paraId="51713E3D" w14:textId="22C6D726" w:rsidR="00776B1F" w:rsidRPr="00AE574D" w:rsidRDefault="00776B1F" w:rsidP="00867366">
            <w:pPr>
              <w:rPr>
                <w:rFonts w:ascii="Arial" w:hAnsi="Arial"/>
                <w:b/>
                <w:bCs/>
              </w:rPr>
            </w:pPr>
            <w:r w:rsidRPr="00AE574D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95" w:type="dxa"/>
          </w:tcPr>
          <w:p w14:paraId="006D8E91" w14:textId="77777777" w:rsidR="00776B1F" w:rsidRDefault="00776B1F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3F0D8375" w14:textId="74163673" w:rsidR="00776B1F" w:rsidRPr="00D56BD9" w:rsidRDefault="00776B1F" w:rsidP="00B77781">
            <w:pPr>
              <w:rPr>
                <w:rFonts w:ascii="Arial" w:hAnsi="Arial"/>
                <w:b/>
                <w:bCs/>
              </w:rPr>
            </w:pPr>
            <w:r w:rsidRPr="00D56BD9">
              <w:rPr>
                <w:rFonts w:ascii="Arial" w:hAnsi="Arial"/>
                <w:b/>
                <w:bCs/>
              </w:rPr>
              <w:t xml:space="preserve">$        </w:t>
            </w:r>
            <w:r w:rsidR="00E70809">
              <w:rPr>
                <w:rFonts w:ascii="Arial" w:hAnsi="Arial"/>
                <w:b/>
                <w:bCs/>
              </w:rPr>
              <w:t xml:space="preserve"> </w:t>
            </w:r>
            <w:r w:rsidR="00D56BD9" w:rsidRPr="00D56BD9">
              <w:rPr>
                <w:rFonts w:ascii="Arial" w:hAnsi="Arial"/>
                <w:b/>
                <w:bCs/>
              </w:rPr>
              <w:t xml:space="preserve"> </w:t>
            </w:r>
            <w:r w:rsidRPr="00D56BD9">
              <w:rPr>
                <w:rFonts w:ascii="Arial" w:hAnsi="Arial"/>
                <w:b/>
                <w:bCs/>
              </w:rPr>
              <w:t xml:space="preserve"> </w:t>
            </w:r>
            <w:r w:rsidR="00E70809">
              <w:rPr>
                <w:rFonts w:ascii="Arial" w:hAnsi="Arial"/>
                <w:b/>
                <w:bCs/>
              </w:rPr>
              <w:t>38,000.00</w:t>
            </w:r>
          </w:p>
        </w:tc>
      </w:tr>
      <w:tr w:rsidR="00163213" w14:paraId="0E724B12" w14:textId="77777777" w:rsidTr="008B57D5">
        <w:trPr>
          <w:trHeight w:val="273"/>
          <w:jc w:val="center"/>
        </w:trPr>
        <w:tc>
          <w:tcPr>
            <w:tcW w:w="4367" w:type="dxa"/>
          </w:tcPr>
          <w:p w14:paraId="55D81E21" w14:textId="77777777" w:rsidR="00163213" w:rsidRPr="00AE574D" w:rsidRDefault="00163213" w:rsidP="0086736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395" w:type="dxa"/>
          </w:tcPr>
          <w:p w14:paraId="5F08B98B" w14:textId="77777777" w:rsidR="00163213" w:rsidRDefault="00163213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6CC2F65D" w14:textId="77777777" w:rsidR="00163213" w:rsidRPr="00D56BD9" w:rsidRDefault="00163213" w:rsidP="00B77781">
            <w:pPr>
              <w:rPr>
                <w:rFonts w:ascii="Arial" w:hAnsi="Arial"/>
                <w:b/>
                <w:bCs/>
              </w:rPr>
            </w:pPr>
          </w:p>
        </w:tc>
      </w:tr>
      <w:tr w:rsidR="00776B1F" w14:paraId="7052572D" w14:textId="77777777" w:rsidTr="008B57D5">
        <w:trPr>
          <w:trHeight w:val="273"/>
          <w:jc w:val="center"/>
        </w:trPr>
        <w:tc>
          <w:tcPr>
            <w:tcW w:w="4367" w:type="dxa"/>
          </w:tcPr>
          <w:p w14:paraId="3228BFE8" w14:textId="3A0D531B" w:rsidR="00776B1F" w:rsidRPr="00AD3A1D" w:rsidRDefault="00D56BD9" w:rsidP="00B236B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</w:t>
            </w:r>
            <w:r w:rsidR="00776B1F">
              <w:rPr>
                <w:rFonts w:ascii="Arial" w:hAnsi="Arial"/>
                <w:b/>
              </w:rPr>
              <w:t>:</w:t>
            </w:r>
          </w:p>
        </w:tc>
        <w:tc>
          <w:tcPr>
            <w:tcW w:w="395" w:type="dxa"/>
          </w:tcPr>
          <w:p w14:paraId="6057005F" w14:textId="77777777" w:rsidR="00776B1F" w:rsidRDefault="00776B1F" w:rsidP="00CF7B0D">
            <w:pPr>
              <w:rPr>
                <w:rFonts w:ascii="Arial" w:hAnsi="Arial"/>
              </w:rPr>
            </w:pPr>
          </w:p>
        </w:tc>
        <w:tc>
          <w:tcPr>
            <w:tcW w:w="3017" w:type="dxa"/>
          </w:tcPr>
          <w:p w14:paraId="58592E4E" w14:textId="77777777" w:rsidR="00776B1F" w:rsidRDefault="00776B1F" w:rsidP="00E71E91">
            <w:pPr>
              <w:rPr>
                <w:rFonts w:ascii="Arial" w:hAnsi="Arial"/>
              </w:rPr>
            </w:pPr>
          </w:p>
        </w:tc>
      </w:tr>
      <w:tr w:rsidR="00776B1F" w14:paraId="2226F726" w14:textId="77777777" w:rsidTr="008B57D5">
        <w:trPr>
          <w:trHeight w:val="254"/>
          <w:jc w:val="center"/>
        </w:trPr>
        <w:tc>
          <w:tcPr>
            <w:tcW w:w="4367" w:type="dxa"/>
          </w:tcPr>
          <w:p w14:paraId="21E74852" w14:textId="57F5A8A0" w:rsidR="00776B1F" w:rsidRDefault="00001DA2" w:rsidP="008B732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Group Insurance O/E</w:t>
            </w:r>
          </w:p>
        </w:tc>
        <w:tc>
          <w:tcPr>
            <w:tcW w:w="395" w:type="dxa"/>
          </w:tcPr>
          <w:p w14:paraId="40CE25B7" w14:textId="77777777" w:rsidR="00776B1F" w:rsidRDefault="00776B1F" w:rsidP="00CF7B0D">
            <w:pPr>
              <w:rPr>
                <w:rFonts w:ascii="Arial" w:hAnsi="Arial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20957E9C" w14:textId="30A2C88D" w:rsidR="00776B1F" w:rsidRDefault="00776B1F" w:rsidP="00F055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$        </w:t>
            </w:r>
            <w:r w:rsidR="00E70809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</w:t>
            </w:r>
            <w:r w:rsidR="00E70809">
              <w:rPr>
                <w:rFonts w:ascii="Arial" w:hAnsi="Arial"/>
              </w:rPr>
              <w:t>28,000.00</w:t>
            </w:r>
          </w:p>
        </w:tc>
      </w:tr>
      <w:tr w:rsidR="00EF3DE0" w:rsidRPr="00192B01" w14:paraId="21F4B080" w14:textId="77777777" w:rsidTr="008B57D5">
        <w:trPr>
          <w:trHeight w:val="273"/>
          <w:jc w:val="center"/>
        </w:trPr>
        <w:tc>
          <w:tcPr>
            <w:tcW w:w="4367" w:type="dxa"/>
          </w:tcPr>
          <w:p w14:paraId="5D60D3DF" w14:textId="1865CBEE" w:rsidR="00EF3DE0" w:rsidRDefault="00EF3DE0" w:rsidP="00BD11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E70809">
              <w:rPr>
                <w:rFonts w:ascii="Arial" w:hAnsi="Arial"/>
              </w:rPr>
              <w:t>treets &amp; Roads O/E</w:t>
            </w:r>
          </w:p>
        </w:tc>
        <w:tc>
          <w:tcPr>
            <w:tcW w:w="395" w:type="dxa"/>
          </w:tcPr>
          <w:p w14:paraId="66ACF5D0" w14:textId="77777777" w:rsidR="00EF3DE0" w:rsidRPr="00683B6E" w:rsidRDefault="00EF3DE0" w:rsidP="00CF7B0D">
            <w:pPr>
              <w:rPr>
                <w:rFonts w:ascii="Arial" w:hAnsi="Arial"/>
                <w:b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45F2AAB" w14:textId="242B94CC" w:rsidR="00EF3DE0" w:rsidRDefault="00EF3DE0" w:rsidP="00E71E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$            </w:t>
            </w:r>
            <w:r w:rsidR="00E70809">
              <w:rPr>
                <w:rFonts w:ascii="Arial" w:hAnsi="Arial"/>
              </w:rPr>
              <w:t>10,000.00</w:t>
            </w:r>
          </w:p>
        </w:tc>
      </w:tr>
      <w:tr w:rsidR="00776B1F" w14:paraId="43A0E9B0" w14:textId="77777777" w:rsidTr="008B57D5">
        <w:trPr>
          <w:trHeight w:val="277"/>
          <w:jc w:val="center"/>
        </w:trPr>
        <w:tc>
          <w:tcPr>
            <w:tcW w:w="4367" w:type="dxa"/>
          </w:tcPr>
          <w:p w14:paraId="40FF7179" w14:textId="77777777" w:rsidR="00776B1F" w:rsidRPr="00192B01" w:rsidRDefault="00776B1F" w:rsidP="00CF7B0D">
            <w:pPr>
              <w:rPr>
                <w:rFonts w:ascii="Arial" w:hAnsi="Arial"/>
              </w:rPr>
            </w:pPr>
            <w:r w:rsidRPr="0050162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95" w:type="dxa"/>
          </w:tcPr>
          <w:p w14:paraId="22B1098C" w14:textId="77777777" w:rsidR="00776B1F" w:rsidRDefault="00776B1F" w:rsidP="00CF7B0D">
            <w:pPr>
              <w:rPr>
                <w:rFonts w:ascii="Arial" w:hAnsi="Arial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</w:tcPr>
          <w:p w14:paraId="214733F4" w14:textId="1357BA12" w:rsidR="00776B1F" w:rsidRPr="008E6C6F" w:rsidRDefault="00776B1F" w:rsidP="006D1B73">
            <w:pPr>
              <w:rPr>
                <w:rFonts w:ascii="Arial" w:hAnsi="Arial"/>
              </w:rPr>
            </w:pPr>
            <w:r w:rsidRPr="00501623">
              <w:rPr>
                <w:rFonts w:ascii="Arial" w:hAnsi="Arial"/>
                <w:b/>
              </w:rPr>
              <w:t xml:space="preserve">$      </w:t>
            </w:r>
            <w:r w:rsidR="00493935">
              <w:rPr>
                <w:rFonts w:ascii="Arial" w:hAnsi="Arial"/>
                <w:b/>
              </w:rPr>
              <w:t xml:space="preserve">  </w:t>
            </w:r>
            <w:r w:rsidRPr="00501623">
              <w:rPr>
                <w:rFonts w:ascii="Arial" w:hAnsi="Arial"/>
                <w:b/>
              </w:rPr>
              <w:t xml:space="preserve"> </w:t>
            </w:r>
            <w:r w:rsidR="00E70809">
              <w:rPr>
                <w:rFonts w:ascii="Arial" w:hAnsi="Arial"/>
                <w:b/>
              </w:rPr>
              <w:t xml:space="preserve"> </w:t>
            </w:r>
            <w:r w:rsidRPr="00501623">
              <w:rPr>
                <w:rFonts w:ascii="Arial" w:hAnsi="Arial"/>
                <w:b/>
              </w:rPr>
              <w:t xml:space="preserve"> </w:t>
            </w:r>
            <w:r w:rsidR="00E70809">
              <w:rPr>
                <w:rFonts w:ascii="Arial" w:hAnsi="Arial"/>
                <w:b/>
              </w:rPr>
              <w:t xml:space="preserve"> 38,000.00</w:t>
            </w:r>
          </w:p>
        </w:tc>
      </w:tr>
    </w:tbl>
    <w:p w14:paraId="11CCC7CB" w14:textId="2719DD11" w:rsidR="000C35B9" w:rsidRDefault="000C35B9" w:rsidP="00393F6D">
      <w:pPr>
        <w:keepNext/>
        <w:jc w:val="center"/>
        <w:outlineLvl w:val="1"/>
        <w:rPr>
          <w:sz w:val="24"/>
        </w:rPr>
      </w:pPr>
    </w:p>
    <w:p w14:paraId="26429D42" w14:textId="2C23D560" w:rsidR="000C35B9" w:rsidRDefault="000C35B9">
      <w:pPr>
        <w:rPr>
          <w:sz w:val="24"/>
        </w:rPr>
      </w:pPr>
    </w:p>
    <w:p w14:paraId="533EB105" w14:textId="77777777" w:rsidR="0011015D" w:rsidRDefault="0011015D" w:rsidP="00393F6D">
      <w:pPr>
        <w:keepNext/>
        <w:jc w:val="center"/>
        <w:outlineLvl w:val="1"/>
        <w:rPr>
          <w:sz w:val="24"/>
        </w:rPr>
      </w:pPr>
    </w:p>
    <w:p w14:paraId="36F9ACC5" w14:textId="77777777" w:rsidR="00C65928" w:rsidRDefault="00C65928" w:rsidP="00C65928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65928" w14:paraId="173D9B9D" w14:textId="77777777" w:rsidTr="00C6592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DCD5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59400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7574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5B87D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3429D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F6B82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C3856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1A7A" w14:textId="77777777" w:rsidR="00C65928" w:rsidRDefault="00C65928">
            <w:pPr>
              <w:spacing w:line="276" w:lineRule="auto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68EFD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8637E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C65928" w14:paraId="75F51682" w14:textId="77777777" w:rsidTr="00C6592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78A69" w14:textId="6E79B503" w:rsidR="00C65928" w:rsidRDefault="001632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5B6B6" w14:textId="4E22374A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326B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0597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014" w14:textId="02D4D232" w:rsidR="00C65928" w:rsidRDefault="00C65928" w:rsidP="008B0B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79A28" w14:textId="250F6858" w:rsidR="00163213" w:rsidRDefault="001632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1E7E5" w14:textId="39908322" w:rsidR="00C65928" w:rsidRDefault="00C65928" w:rsidP="00253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FD3A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8D6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0D76C" w14:textId="5DEAD1BE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65928" w14:paraId="08D4114E" w14:textId="77777777" w:rsidTr="00C6592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D75FB" w14:textId="6C749F0C" w:rsidR="00C65928" w:rsidRDefault="001632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408A8" w14:textId="510679FB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F32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8B50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50CE" w14:textId="3C059261" w:rsidR="00C65928" w:rsidRDefault="00C65928" w:rsidP="002533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D962" w14:textId="3597B236" w:rsidR="00C65928" w:rsidRDefault="001632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Graziano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569AE" w14:textId="78038751" w:rsidR="00C65928" w:rsidRDefault="00C65928" w:rsidP="00253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1354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2C3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A5A3A" w14:textId="77777777" w:rsidR="00C65928" w:rsidRDefault="00C65928">
            <w:pPr>
              <w:rPr>
                <w:sz w:val="18"/>
                <w:szCs w:val="18"/>
              </w:rPr>
            </w:pPr>
          </w:p>
        </w:tc>
      </w:tr>
      <w:tr w:rsidR="00C65928" w14:paraId="51890DBC" w14:textId="77777777" w:rsidTr="00C6592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89395" w14:textId="7108D6E1" w:rsidR="00C65928" w:rsidRDefault="00EB632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Bronkhurst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2A873" w14:textId="7AF4224D" w:rsidR="00C65928" w:rsidRDefault="00C65928" w:rsidP="00253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1E23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272B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5593D" w14:textId="5FB7900B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D50F9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85C2A" w14:textId="3A6B28B6" w:rsidR="00C65928" w:rsidRDefault="00C65928" w:rsidP="002533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CE7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44FF" w14:textId="77777777" w:rsidR="00C65928" w:rsidRDefault="00C6592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9C4A0" w14:textId="77777777" w:rsidR="00C65928" w:rsidRDefault="00C65928">
            <w:pPr>
              <w:rPr>
                <w:sz w:val="18"/>
                <w:szCs w:val="18"/>
              </w:rPr>
            </w:pPr>
          </w:p>
        </w:tc>
      </w:tr>
    </w:tbl>
    <w:p w14:paraId="11E0B673" w14:textId="77777777" w:rsidR="00C65928" w:rsidRDefault="00C65928" w:rsidP="00C65928">
      <w:pPr>
        <w:rPr>
          <w:sz w:val="18"/>
          <w:szCs w:val="18"/>
        </w:rPr>
      </w:pPr>
    </w:p>
    <w:p w14:paraId="74C40263" w14:textId="7D437061" w:rsidR="00C65928" w:rsidRDefault="00C65928" w:rsidP="00C65928">
      <w:pPr>
        <w:rPr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0C35B9">
        <w:rPr>
          <w:sz w:val="18"/>
          <w:szCs w:val="18"/>
        </w:rPr>
        <w:t>January 21, 2025</w:t>
      </w:r>
      <w:r>
        <w:rPr>
          <w:sz w:val="18"/>
          <w:szCs w:val="18"/>
        </w:rPr>
        <w:t>.</w:t>
      </w:r>
    </w:p>
    <w:p w14:paraId="6384B526" w14:textId="53864FED" w:rsidR="00C65928" w:rsidRDefault="00C65928" w:rsidP="00C65928">
      <w:pPr>
        <w:rPr>
          <w:rFonts w:eastAsia="Calibri"/>
          <w:sz w:val="18"/>
          <w:szCs w:val="18"/>
        </w:rPr>
      </w:pPr>
    </w:p>
    <w:p w14:paraId="62B522EB" w14:textId="5A0979D2" w:rsidR="00253330" w:rsidRDefault="00253330" w:rsidP="00C65928">
      <w:pPr>
        <w:rPr>
          <w:rFonts w:eastAsia="Calibri"/>
          <w:sz w:val="18"/>
          <w:szCs w:val="18"/>
        </w:rPr>
      </w:pPr>
    </w:p>
    <w:p w14:paraId="38934F12" w14:textId="77777777" w:rsidR="00253330" w:rsidRDefault="00253330" w:rsidP="00C65928">
      <w:pPr>
        <w:rPr>
          <w:rFonts w:eastAsia="Calibri"/>
          <w:sz w:val="18"/>
          <w:szCs w:val="18"/>
        </w:rPr>
      </w:pPr>
    </w:p>
    <w:p w14:paraId="752660F2" w14:textId="77777777" w:rsidR="00C65928" w:rsidRDefault="00C65928" w:rsidP="00C65928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5C622491" w14:textId="77777777" w:rsidR="00C65928" w:rsidRDefault="00C65928" w:rsidP="00C65928">
      <w:pPr>
        <w:rPr>
          <w:sz w:val="18"/>
          <w:szCs w:val="18"/>
        </w:rPr>
      </w:pPr>
      <w:r>
        <w:rPr>
          <w:sz w:val="18"/>
          <w:szCs w:val="18"/>
        </w:rPr>
        <w:t>Breeanna Smith, RMC</w:t>
      </w:r>
    </w:p>
    <w:p w14:paraId="4854E138" w14:textId="16CD39AF" w:rsidR="00850F5F" w:rsidRPr="00C65928" w:rsidRDefault="00C65928" w:rsidP="00C65928">
      <w:pPr>
        <w:rPr>
          <w:sz w:val="24"/>
          <w:szCs w:val="24"/>
        </w:rPr>
      </w:pPr>
      <w:r>
        <w:rPr>
          <w:sz w:val="18"/>
          <w:szCs w:val="18"/>
        </w:rPr>
        <w:t>Municipal Clerk, Borough of Bloomingdale</w:t>
      </w:r>
      <w:r>
        <w:t xml:space="preserve"> </w:t>
      </w:r>
    </w:p>
    <w:sectPr w:rsidR="00850F5F" w:rsidRPr="00C65928" w:rsidSect="008B5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E90C" w14:textId="77777777" w:rsidR="00A61FFC" w:rsidRDefault="00A61FFC" w:rsidP="00393F6D">
      <w:r>
        <w:separator/>
      </w:r>
    </w:p>
  </w:endnote>
  <w:endnote w:type="continuationSeparator" w:id="0">
    <w:p w14:paraId="01FBD43E" w14:textId="77777777" w:rsidR="00A61FFC" w:rsidRDefault="00A61FFC" w:rsidP="003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439A" w14:textId="77777777" w:rsidR="00393F6D" w:rsidRDefault="00393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F8F" w14:textId="77777777" w:rsidR="00393F6D" w:rsidRDefault="00393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AF3" w14:textId="77777777" w:rsidR="00393F6D" w:rsidRDefault="00393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D8D0" w14:textId="77777777" w:rsidR="00A61FFC" w:rsidRDefault="00A61FFC" w:rsidP="00393F6D">
      <w:r>
        <w:separator/>
      </w:r>
    </w:p>
  </w:footnote>
  <w:footnote w:type="continuationSeparator" w:id="0">
    <w:p w14:paraId="3291288A" w14:textId="77777777" w:rsidR="00A61FFC" w:rsidRDefault="00A61FFC" w:rsidP="0039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1EBC" w14:textId="77777777" w:rsidR="00393F6D" w:rsidRDefault="00393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11B5" w14:textId="79F15766" w:rsidR="00393F6D" w:rsidRDefault="00393F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4A7F" w14:textId="77777777" w:rsidR="00393F6D" w:rsidRDefault="00393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EB"/>
    <w:rsid w:val="00001DA2"/>
    <w:rsid w:val="0001471F"/>
    <w:rsid w:val="000411A1"/>
    <w:rsid w:val="00052DD0"/>
    <w:rsid w:val="00052ECE"/>
    <w:rsid w:val="00071D71"/>
    <w:rsid w:val="00077C6F"/>
    <w:rsid w:val="0008691E"/>
    <w:rsid w:val="00095EAC"/>
    <w:rsid w:val="000974F4"/>
    <w:rsid w:val="000B6557"/>
    <w:rsid w:val="000C35B9"/>
    <w:rsid w:val="000D1D53"/>
    <w:rsid w:val="000D2423"/>
    <w:rsid w:val="000D2A7B"/>
    <w:rsid w:val="000D5745"/>
    <w:rsid w:val="000E5981"/>
    <w:rsid w:val="000F26AB"/>
    <w:rsid w:val="000F74DB"/>
    <w:rsid w:val="0011015D"/>
    <w:rsid w:val="00117E44"/>
    <w:rsid w:val="00126266"/>
    <w:rsid w:val="00145E43"/>
    <w:rsid w:val="00147CD2"/>
    <w:rsid w:val="00154161"/>
    <w:rsid w:val="00163213"/>
    <w:rsid w:val="00186E0C"/>
    <w:rsid w:val="00190B2A"/>
    <w:rsid w:val="00192B01"/>
    <w:rsid w:val="001978B1"/>
    <w:rsid w:val="001C54E0"/>
    <w:rsid w:val="001D358E"/>
    <w:rsid w:val="001F710D"/>
    <w:rsid w:val="002061E2"/>
    <w:rsid w:val="00207748"/>
    <w:rsid w:val="00212A4D"/>
    <w:rsid w:val="002136EC"/>
    <w:rsid w:val="00217A4E"/>
    <w:rsid w:val="002368D5"/>
    <w:rsid w:val="00237080"/>
    <w:rsid w:val="002372F0"/>
    <w:rsid w:val="00240CC9"/>
    <w:rsid w:val="002453D2"/>
    <w:rsid w:val="00253330"/>
    <w:rsid w:val="0026152A"/>
    <w:rsid w:val="0027582D"/>
    <w:rsid w:val="0028233B"/>
    <w:rsid w:val="00284801"/>
    <w:rsid w:val="00291698"/>
    <w:rsid w:val="002966D9"/>
    <w:rsid w:val="002A2553"/>
    <w:rsid w:val="002A6892"/>
    <w:rsid w:val="002B42B4"/>
    <w:rsid w:val="002D2BC0"/>
    <w:rsid w:val="002D4E3A"/>
    <w:rsid w:val="002E4DE7"/>
    <w:rsid w:val="002F2CAC"/>
    <w:rsid w:val="002F7854"/>
    <w:rsid w:val="003317C8"/>
    <w:rsid w:val="0033257C"/>
    <w:rsid w:val="00350432"/>
    <w:rsid w:val="00366B63"/>
    <w:rsid w:val="0036758F"/>
    <w:rsid w:val="00374065"/>
    <w:rsid w:val="0038524B"/>
    <w:rsid w:val="00393F6D"/>
    <w:rsid w:val="003A48CC"/>
    <w:rsid w:val="003A5354"/>
    <w:rsid w:val="003C11A0"/>
    <w:rsid w:val="003C332D"/>
    <w:rsid w:val="003C49FD"/>
    <w:rsid w:val="003C5F96"/>
    <w:rsid w:val="003D20A3"/>
    <w:rsid w:val="003E069A"/>
    <w:rsid w:val="003F1491"/>
    <w:rsid w:val="003F7907"/>
    <w:rsid w:val="00402A0C"/>
    <w:rsid w:val="00402AE1"/>
    <w:rsid w:val="004047A6"/>
    <w:rsid w:val="004414A6"/>
    <w:rsid w:val="004556CE"/>
    <w:rsid w:val="00461BC5"/>
    <w:rsid w:val="00462594"/>
    <w:rsid w:val="00466159"/>
    <w:rsid w:val="00487DA6"/>
    <w:rsid w:val="00493935"/>
    <w:rsid w:val="00494C3D"/>
    <w:rsid w:val="004A31E5"/>
    <w:rsid w:val="004B02E1"/>
    <w:rsid w:val="004B49DE"/>
    <w:rsid w:val="004C20C5"/>
    <w:rsid w:val="004C2C8D"/>
    <w:rsid w:val="004D328E"/>
    <w:rsid w:val="004D4FA8"/>
    <w:rsid w:val="004D775F"/>
    <w:rsid w:val="004F3BD6"/>
    <w:rsid w:val="004F469D"/>
    <w:rsid w:val="00500F4F"/>
    <w:rsid w:val="00501623"/>
    <w:rsid w:val="005027FD"/>
    <w:rsid w:val="005115DA"/>
    <w:rsid w:val="00537B74"/>
    <w:rsid w:val="00541495"/>
    <w:rsid w:val="00541C9E"/>
    <w:rsid w:val="00546CA1"/>
    <w:rsid w:val="005548B8"/>
    <w:rsid w:val="00576D71"/>
    <w:rsid w:val="00582738"/>
    <w:rsid w:val="00592E55"/>
    <w:rsid w:val="005937E0"/>
    <w:rsid w:val="005A34E0"/>
    <w:rsid w:val="005A70EB"/>
    <w:rsid w:val="005C4A82"/>
    <w:rsid w:val="005E0F00"/>
    <w:rsid w:val="005E5418"/>
    <w:rsid w:val="005E7C9E"/>
    <w:rsid w:val="006345A3"/>
    <w:rsid w:val="00643BC4"/>
    <w:rsid w:val="00651E05"/>
    <w:rsid w:val="00651E45"/>
    <w:rsid w:val="00667DC7"/>
    <w:rsid w:val="006717C7"/>
    <w:rsid w:val="00683B6E"/>
    <w:rsid w:val="006A1ADB"/>
    <w:rsid w:val="006B2947"/>
    <w:rsid w:val="006C450E"/>
    <w:rsid w:val="006D1B73"/>
    <w:rsid w:val="006E260F"/>
    <w:rsid w:val="0070388D"/>
    <w:rsid w:val="007043B7"/>
    <w:rsid w:val="00716CB4"/>
    <w:rsid w:val="00720B2C"/>
    <w:rsid w:val="007211E0"/>
    <w:rsid w:val="00721E06"/>
    <w:rsid w:val="00723364"/>
    <w:rsid w:val="00737B94"/>
    <w:rsid w:val="007419C6"/>
    <w:rsid w:val="00744C4B"/>
    <w:rsid w:val="00745C16"/>
    <w:rsid w:val="007509A4"/>
    <w:rsid w:val="007633C7"/>
    <w:rsid w:val="007653CF"/>
    <w:rsid w:val="007715EF"/>
    <w:rsid w:val="00771EFB"/>
    <w:rsid w:val="00775224"/>
    <w:rsid w:val="00776B1F"/>
    <w:rsid w:val="00776CE1"/>
    <w:rsid w:val="007874E1"/>
    <w:rsid w:val="007926FD"/>
    <w:rsid w:val="007B5F0E"/>
    <w:rsid w:val="007D0018"/>
    <w:rsid w:val="007D0895"/>
    <w:rsid w:val="007D7EDF"/>
    <w:rsid w:val="007E18FA"/>
    <w:rsid w:val="007E1969"/>
    <w:rsid w:val="007F092D"/>
    <w:rsid w:val="007F426E"/>
    <w:rsid w:val="008042FD"/>
    <w:rsid w:val="00822ACE"/>
    <w:rsid w:val="00825393"/>
    <w:rsid w:val="00832748"/>
    <w:rsid w:val="00834AE6"/>
    <w:rsid w:val="00835957"/>
    <w:rsid w:val="00836FD9"/>
    <w:rsid w:val="00844390"/>
    <w:rsid w:val="008443F1"/>
    <w:rsid w:val="00847B40"/>
    <w:rsid w:val="00850F5F"/>
    <w:rsid w:val="00851795"/>
    <w:rsid w:val="00867366"/>
    <w:rsid w:val="00885E27"/>
    <w:rsid w:val="00891344"/>
    <w:rsid w:val="008976DD"/>
    <w:rsid w:val="008A05D0"/>
    <w:rsid w:val="008B0B89"/>
    <w:rsid w:val="008B1F86"/>
    <w:rsid w:val="008B57D5"/>
    <w:rsid w:val="008B7322"/>
    <w:rsid w:val="008E0AD6"/>
    <w:rsid w:val="008E6C6F"/>
    <w:rsid w:val="008E6F5D"/>
    <w:rsid w:val="00903F8B"/>
    <w:rsid w:val="00905499"/>
    <w:rsid w:val="00911CD3"/>
    <w:rsid w:val="0091371C"/>
    <w:rsid w:val="00914952"/>
    <w:rsid w:val="0093515A"/>
    <w:rsid w:val="00943A35"/>
    <w:rsid w:val="00947F22"/>
    <w:rsid w:val="00971411"/>
    <w:rsid w:val="00974F4A"/>
    <w:rsid w:val="009827EC"/>
    <w:rsid w:val="009913A3"/>
    <w:rsid w:val="009A3B38"/>
    <w:rsid w:val="009A6330"/>
    <w:rsid w:val="009B7532"/>
    <w:rsid w:val="009C46B6"/>
    <w:rsid w:val="009D12AA"/>
    <w:rsid w:val="009D623C"/>
    <w:rsid w:val="009F4342"/>
    <w:rsid w:val="009F47BF"/>
    <w:rsid w:val="00A01BB9"/>
    <w:rsid w:val="00A073DE"/>
    <w:rsid w:val="00A100A2"/>
    <w:rsid w:val="00A11396"/>
    <w:rsid w:val="00A3051A"/>
    <w:rsid w:val="00A3216F"/>
    <w:rsid w:val="00A54A0E"/>
    <w:rsid w:val="00A61FFC"/>
    <w:rsid w:val="00A73CC1"/>
    <w:rsid w:val="00A74A98"/>
    <w:rsid w:val="00A758E4"/>
    <w:rsid w:val="00A81C85"/>
    <w:rsid w:val="00A82CA2"/>
    <w:rsid w:val="00A86CCE"/>
    <w:rsid w:val="00A90410"/>
    <w:rsid w:val="00A95878"/>
    <w:rsid w:val="00A96399"/>
    <w:rsid w:val="00A96ACE"/>
    <w:rsid w:val="00A97763"/>
    <w:rsid w:val="00AA415B"/>
    <w:rsid w:val="00AA4166"/>
    <w:rsid w:val="00AB6230"/>
    <w:rsid w:val="00AB6F7E"/>
    <w:rsid w:val="00AD1CE6"/>
    <w:rsid w:val="00AD3A1D"/>
    <w:rsid w:val="00AD6276"/>
    <w:rsid w:val="00AD6436"/>
    <w:rsid w:val="00AE3B56"/>
    <w:rsid w:val="00AE3E65"/>
    <w:rsid w:val="00AE574D"/>
    <w:rsid w:val="00B04DBB"/>
    <w:rsid w:val="00B11D28"/>
    <w:rsid w:val="00B14F33"/>
    <w:rsid w:val="00B236BF"/>
    <w:rsid w:val="00B25C36"/>
    <w:rsid w:val="00B3393F"/>
    <w:rsid w:val="00B348C7"/>
    <w:rsid w:val="00B62FAC"/>
    <w:rsid w:val="00B677B8"/>
    <w:rsid w:val="00B77781"/>
    <w:rsid w:val="00B849DD"/>
    <w:rsid w:val="00B86198"/>
    <w:rsid w:val="00B87DD1"/>
    <w:rsid w:val="00B94AB4"/>
    <w:rsid w:val="00BD021B"/>
    <w:rsid w:val="00BD1180"/>
    <w:rsid w:val="00BD52F3"/>
    <w:rsid w:val="00BE4EAA"/>
    <w:rsid w:val="00BE7486"/>
    <w:rsid w:val="00BF34A1"/>
    <w:rsid w:val="00BF3FF2"/>
    <w:rsid w:val="00C1099A"/>
    <w:rsid w:val="00C17E9E"/>
    <w:rsid w:val="00C3020E"/>
    <w:rsid w:val="00C3785B"/>
    <w:rsid w:val="00C47C8A"/>
    <w:rsid w:val="00C5364E"/>
    <w:rsid w:val="00C53E8B"/>
    <w:rsid w:val="00C57D37"/>
    <w:rsid w:val="00C6203D"/>
    <w:rsid w:val="00C65928"/>
    <w:rsid w:val="00C67939"/>
    <w:rsid w:val="00C70121"/>
    <w:rsid w:val="00C84B18"/>
    <w:rsid w:val="00C9109E"/>
    <w:rsid w:val="00C94983"/>
    <w:rsid w:val="00CA6A96"/>
    <w:rsid w:val="00CA72E2"/>
    <w:rsid w:val="00CB062F"/>
    <w:rsid w:val="00CB4582"/>
    <w:rsid w:val="00CB5422"/>
    <w:rsid w:val="00CC2B7A"/>
    <w:rsid w:val="00CC427C"/>
    <w:rsid w:val="00CD4560"/>
    <w:rsid w:val="00CF7B0D"/>
    <w:rsid w:val="00D10048"/>
    <w:rsid w:val="00D125F5"/>
    <w:rsid w:val="00D21A38"/>
    <w:rsid w:val="00D52CFD"/>
    <w:rsid w:val="00D56BD9"/>
    <w:rsid w:val="00D6095E"/>
    <w:rsid w:val="00D60F78"/>
    <w:rsid w:val="00D74DCD"/>
    <w:rsid w:val="00D8179C"/>
    <w:rsid w:val="00DC5FFD"/>
    <w:rsid w:val="00DC6F91"/>
    <w:rsid w:val="00DD3F21"/>
    <w:rsid w:val="00DE5862"/>
    <w:rsid w:val="00DE67D4"/>
    <w:rsid w:val="00E00651"/>
    <w:rsid w:val="00E255C7"/>
    <w:rsid w:val="00E32D8D"/>
    <w:rsid w:val="00E36B38"/>
    <w:rsid w:val="00E45FD8"/>
    <w:rsid w:val="00E473F4"/>
    <w:rsid w:val="00E553B5"/>
    <w:rsid w:val="00E576FE"/>
    <w:rsid w:val="00E616BD"/>
    <w:rsid w:val="00E61F57"/>
    <w:rsid w:val="00E70809"/>
    <w:rsid w:val="00E71E91"/>
    <w:rsid w:val="00E728A7"/>
    <w:rsid w:val="00E730EB"/>
    <w:rsid w:val="00E74DE2"/>
    <w:rsid w:val="00E85707"/>
    <w:rsid w:val="00E91DDE"/>
    <w:rsid w:val="00E93DD2"/>
    <w:rsid w:val="00EA7AAB"/>
    <w:rsid w:val="00EB632B"/>
    <w:rsid w:val="00EB6B1D"/>
    <w:rsid w:val="00EC4285"/>
    <w:rsid w:val="00ED40DE"/>
    <w:rsid w:val="00EE5653"/>
    <w:rsid w:val="00EF151F"/>
    <w:rsid w:val="00EF3DE0"/>
    <w:rsid w:val="00EF4519"/>
    <w:rsid w:val="00F00E10"/>
    <w:rsid w:val="00F01514"/>
    <w:rsid w:val="00F04AE2"/>
    <w:rsid w:val="00F0552F"/>
    <w:rsid w:val="00F23A1C"/>
    <w:rsid w:val="00F303AE"/>
    <w:rsid w:val="00F45C55"/>
    <w:rsid w:val="00F65B1A"/>
    <w:rsid w:val="00F66ADB"/>
    <w:rsid w:val="00F66BEF"/>
    <w:rsid w:val="00F71564"/>
    <w:rsid w:val="00F8038C"/>
    <w:rsid w:val="00F95418"/>
    <w:rsid w:val="00F95997"/>
    <w:rsid w:val="00F95D4A"/>
    <w:rsid w:val="00FA54E1"/>
    <w:rsid w:val="00FA59F9"/>
    <w:rsid w:val="00FB5338"/>
    <w:rsid w:val="00FB54CC"/>
    <w:rsid w:val="00FC0D25"/>
    <w:rsid w:val="00FC2E65"/>
    <w:rsid w:val="00FC45EE"/>
    <w:rsid w:val="00FC4DBE"/>
    <w:rsid w:val="00FD0FE0"/>
    <w:rsid w:val="00FD5CC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396E2"/>
  <w15:chartTrackingRefBased/>
  <w15:docId w15:val="{8A2AE1F4-7FB3-4F69-A26B-147903E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5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9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3F6D"/>
  </w:style>
  <w:style w:type="paragraph" w:styleId="Footer">
    <w:name w:val="footer"/>
    <w:basedOn w:val="Normal"/>
    <w:link w:val="FooterChar"/>
    <w:rsid w:val="0039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94BB-0B0E-4944-9D0C-88F9A1BC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1598</Characters>
  <Application>Microsoft Office Word</Application>
  <DocSecurity>0</DocSecurity>
  <Lines>122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Appropriations</vt:lpstr>
    </vt:vector>
  </TitlesOfParts>
  <Company>Borough of Bloomingdale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Appropriations</dc:title>
  <dc:subject/>
  <dc:creator>Beverly</dc:creator>
  <cp:keywords/>
  <cp:lastModifiedBy>Jasmin E. Azcona</cp:lastModifiedBy>
  <cp:revision>2</cp:revision>
  <cp:lastPrinted>2021-10-29T18:49:00Z</cp:lastPrinted>
  <dcterms:created xsi:type="dcterms:W3CDTF">2025-01-21T08:37:00Z</dcterms:created>
  <dcterms:modified xsi:type="dcterms:W3CDTF">2025-01-21T08:37:00Z</dcterms:modified>
</cp:coreProperties>
</file>