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6B8D6" w14:textId="32DB7571" w:rsidR="0011015D" w:rsidRDefault="0011015D">
      <w:pPr>
        <w:jc w:val="center"/>
        <w:rPr>
          <w:b/>
          <w:sz w:val="24"/>
        </w:rPr>
      </w:pPr>
      <w:r>
        <w:rPr>
          <w:b/>
          <w:sz w:val="24"/>
        </w:rPr>
        <w:t>RESOLUTION</w:t>
      </w:r>
      <w:r w:rsidR="00D52CFD">
        <w:rPr>
          <w:b/>
          <w:sz w:val="24"/>
        </w:rPr>
        <w:t xml:space="preserve"> NO. 20</w:t>
      </w:r>
      <w:r w:rsidR="00FB5338">
        <w:rPr>
          <w:b/>
          <w:sz w:val="24"/>
        </w:rPr>
        <w:t>20</w:t>
      </w:r>
      <w:r w:rsidR="00D52CFD">
        <w:rPr>
          <w:b/>
          <w:sz w:val="24"/>
        </w:rPr>
        <w:t>-</w:t>
      </w:r>
      <w:r w:rsidR="00237080">
        <w:rPr>
          <w:b/>
          <w:sz w:val="24"/>
        </w:rPr>
        <w:t>11</w:t>
      </w:r>
      <w:r w:rsidR="00C5364E">
        <w:rPr>
          <w:b/>
          <w:sz w:val="24"/>
        </w:rPr>
        <w:t>.</w:t>
      </w:r>
      <w:r w:rsidR="00F66ADB">
        <w:rPr>
          <w:b/>
          <w:sz w:val="24"/>
        </w:rPr>
        <w:t>10</w:t>
      </w:r>
    </w:p>
    <w:p w14:paraId="7F5DC8D3" w14:textId="77777777" w:rsidR="0011015D" w:rsidRDefault="0011015D">
      <w:pPr>
        <w:jc w:val="center"/>
        <w:rPr>
          <w:b/>
          <w:sz w:val="24"/>
        </w:rPr>
      </w:pPr>
      <w:r>
        <w:rPr>
          <w:b/>
          <w:sz w:val="24"/>
        </w:rPr>
        <w:t>OF THE GOVERNING BODY</w:t>
      </w:r>
      <w:r w:rsidR="00D52CFD">
        <w:rPr>
          <w:b/>
          <w:sz w:val="24"/>
        </w:rPr>
        <w:t xml:space="preserve"> OF</w:t>
      </w:r>
    </w:p>
    <w:p w14:paraId="4BEE33BF" w14:textId="77777777" w:rsidR="0011015D" w:rsidRDefault="0011015D">
      <w:pPr>
        <w:jc w:val="center"/>
        <w:rPr>
          <w:b/>
          <w:sz w:val="24"/>
          <w:u w:val="single"/>
        </w:rPr>
      </w:pPr>
      <w:r>
        <w:rPr>
          <w:b/>
          <w:sz w:val="24"/>
          <w:u w:val="single"/>
        </w:rPr>
        <w:t>THE BOROUGH OF BLOOMINGDALE</w:t>
      </w:r>
    </w:p>
    <w:p w14:paraId="0C441236" w14:textId="77777777" w:rsidR="0011015D" w:rsidRDefault="0011015D">
      <w:pPr>
        <w:rPr>
          <w:sz w:val="24"/>
        </w:rPr>
      </w:pPr>
    </w:p>
    <w:p w14:paraId="2A7B63B5" w14:textId="4F85E9BF" w:rsidR="0011015D" w:rsidRPr="00D52CFD" w:rsidRDefault="0011015D">
      <w:pPr>
        <w:jc w:val="center"/>
        <w:rPr>
          <w:b/>
          <w:sz w:val="24"/>
        </w:rPr>
      </w:pPr>
      <w:r w:rsidRPr="00D52CFD">
        <w:rPr>
          <w:b/>
          <w:sz w:val="24"/>
        </w:rPr>
        <w:t>Authorizing the Transfer of 20</w:t>
      </w:r>
      <w:r w:rsidR="00FB5338">
        <w:rPr>
          <w:b/>
          <w:sz w:val="24"/>
        </w:rPr>
        <w:t>20</w:t>
      </w:r>
      <w:r w:rsidRPr="00D52CFD">
        <w:rPr>
          <w:b/>
          <w:sz w:val="24"/>
        </w:rPr>
        <w:t xml:space="preserve"> Appropriations</w:t>
      </w:r>
    </w:p>
    <w:p w14:paraId="5AACD22C" w14:textId="77777777" w:rsidR="0011015D" w:rsidRDefault="0011015D">
      <w:pPr>
        <w:rPr>
          <w:sz w:val="24"/>
        </w:rPr>
      </w:pPr>
    </w:p>
    <w:p w14:paraId="3307BD66" w14:textId="77777777" w:rsidR="0011015D" w:rsidRDefault="0011015D" w:rsidP="00D52CFD">
      <w:pPr>
        <w:jc w:val="both"/>
        <w:rPr>
          <w:sz w:val="24"/>
        </w:rPr>
      </w:pPr>
      <w:r>
        <w:rPr>
          <w:sz w:val="24"/>
        </w:rPr>
        <w:t xml:space="preserve">     </w:t>
      </w:r>
      <w:r w:rsidRPr="00D52CFD">
        <w:rPr>
          <w:b/>
          <w:sz w:val="24"/>
        </w:rPr>
        <w:t>WHEREAS</w:t>
      </w:r>
      <w:r>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4AF9BC9C" w14:textId="77777777" w:rsidR="0011015D" w:rsidRDefault="0011015D" w:rsidP="00D52CFD">
      <w:pPr>
        <w:jc w:val="both"/>
        <w:rPr>
          <w:sz w:val="24"/>
        </w:rPr>
      </w:pPr>
    </w:p>
    <w:p w14:paraId="69C57C3E" w14:textId="2DB838E0" w:rsidR="0011015D" w:rsidRDefault="0011015D" w:rsidP="00D52CFD">
      <w:pPr>
        <w:jc w:val="both"/>
        <w:rPr>
          <w:sz w:val="24"/>
        </w:rPr>
      </w:pPr>
      <w:r>
        <w:rPr>
          <w:sz w:val="24"/>
        </w:rPr>
        <w:t xml:space="preserve">     </w:t>
      </w:r>
      <w:r w:rsidRPr="00D52CFD">
        <w:rPr>
          <w:b/>
          <w:sz w:val="24"/>
        </w:rPr>
        <w:t>WHEREAS</w:t>
      </w:r>
      <w:r>
        <w:rPr>
          <w:sz w:val="24"/>
        </w:rPr>
        <w:t xml:space="preserve">,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14:paraId="583C52FA" w14:textId="77777777" w:rsidR="0011015D" w:rsidRDefault="0011015D" w:rsidP="00D52CFD">
      <w:pPr>
        <w:jc w:val="both"/>
        <w:rPr>
          <w:sz w:val="24"/>
        </w:rPr>
      </w:pPr>
    </w:p>
    <w:p w14:paraId="1D4835B6" w14:textId="5973F445" w:rsidR="0011015D" w:rsidRDefault="0011015D" w:rsidP="00D52CFD">
      <w:pPr>
        <w:jc w:val="both"/>
        <w:rPr>
          <w:sz w:val="24"/>
        </w:rPr>
      </w:pPr>
      <w:r>
        <w:rPr>
          <w:sz w:val="24"/>
        </w:rPr>
        <w:t xml:space="preserve">     </w:t>
      </w:r>
      <w:r w:rsidRPr="00D52CFD">
        <w:rPr>
          <w:b/>
          <w:sz w:val="24"/>
        </w:rPr>
        <w:t>NOW, THEREFORE, BE IT RESOLVED</w:t>
      </w:r>
      <w:r>
        <w:rPr>
          <w:sz w:val="24"/>
        </w:rPr>
        <w:t xml:space="preserve">, by the Governing Body of the Borough of Bloomingdale that the </w:t>
      </w:r>
      <w:r w:rsidR="00683B6E">
        <w:rPr>
          <w:sz w:val="24"/>
        </w:rPr>
        <w:t>Borough Treasurer</w:t>
      </w:r>
      <w:r>
        <w:rPr>
          <w:sz w:val="24"/>
        </w:rPr>
        <w:t xml:space="preserve"> is hereby authorized to make the following transfers in the FY20</w:t>
      </w:r>
      <w:r w:rsidR="00FB5338">
        <w:rPr>
          <w:sz w:val="24"/>
        </w:rPr>
        <w:t>20</w:t>
      </w:r>
      <w:r>
        <w:rPr>
          <w:sz w:val="24"/>
        </w:rPr>
        <w:t xml:space="preserve"> Budget.</w:t>
      </w:r>
    </w:p>
    <w:p w14:paraId="506ED6A1" w14:textId="77777777" w:rsidR="00393F6D" w:rsidRDefault="00393F6D" w:rsidP="00D52CFD">
      <w:pPr>
        <w:jc w:val="both"/>
        <w:rPr>
          <w:sz w:val="24"/>
        </w:rPr>
      </w:pPr>
    </w:p>
    <w:p w14:paraId="76414860" w14:textId="77777777" w:rsidR="0011015D" w:rsidRDefault="0011015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41"/>
        <w:gridCol w:w="2352"/>
        <w:gridCol w:w="1838"/>
      </w:tblGrid>
      <w:tr w:rsidR="0011015D" w14:paraId="3A2F8AEA" w14:textId="77777777" w:rsidTr="00AE574D">
        <w:trPr>
          <w:trHeight w:val="342"/>
          <w:jc w:val="center"/>
        </w:trPr>
        <w:tc>
          <w:tcPr>
            <w:tcW w:w="2660" w:type="dxa"/>
          </w:tcPr>
          <w:p w14:paraId="41829318" w14:textId="77777777" w:rsidR="0011015D" w:rsidRDefault="00BE7486">
            <w:pPr>
              <w:rPr>
                <w:rFonts w:ascii="Arial" w:hAnsi="Arial"/>
                <w:b/>
              </w:rPr>
            </w:pPr>
            <w:r>
              <w:rPr>
                <w:rFonts w:ascii="Arial" w:hAnsi="Arial"/>
                <w:b/>
              </w:rPr>
              <w:t>To:</w:t>
            </w:r>
          </w:p>
        </w:tc>
        <w:tc>
          <w:tcPr>
            <w:tcW w:w="241" w:type="dxa"/>
          </w:tcPr>
          <w:p w14:paraId="4951E240" w14:textId="77777777" w:rsidR="0011015D" w:rsidRDefault="0011015D">
            <w:pPr>
              <w:rPr>
                <w:rFonts w:ascii="Arial" w:hAnsi="Arial"/>
              </w:rPr>
            </w:pPr>
          </w:p>
        </w:tc>
        <w:tc>
          <w:tcPr>
            <w:tcW w:w="2352" w:type="dxa"/>
          </w:tcPr>
          <w:p w14:paraId="6561859E" w14:textId="77777777" w:rsidR="0011015D" w:rsidRDefault="0011015D">
            <w:pPr>
              <w:rPr>
                <w:rFonts w:ascii="Arial" w:hAnsi="Arial"/>
              </w:rPr>
            </w:pPr>
          </w:p>
        </w:tc>
        <w:tc>
          <w:tcPr>
            <w:tcW w:w="1838" w:type="dxa"/>
          </w:tcPr>
          <w:p w14:paraId="694FEC77" w14:textId="77777777" w:rsidR="0011015D" w:rsidRDefault="0011015D">
            <w:pPr>
              <w:rPr>
                <w:rFonts w:ascii="Arial" w:hAnsi="Arial"/>
              </w:rPr>
            </w:pPr>
          </w:p>
        </w:tc>
      </w:tr>
      <w:tr w:rsidR="0011015D" w14:paraId="17E45FE9" w14:textId="77777777" w:rsidTr="00AE574D">
        <w:trPr>
          <w:trHeight w:val="185"/>
          <w:jc w:val="center"/>
        </w:trPr>
        <w:tc>
          <w:tcPr>
            <w:tcW w:w="2660" w:type="dxa"/>
          </w:tcPr>
          <w:p w14:paraId="4CF10C3F" w14:textId="2B180E9C" w:rsidR="0011015D" w:rsidRDefault="00FB5338" w:rsidP="00D21A38">
            <w:pPr>
              <w:rPr>
                <w:rFonts w:ascii="Arial" w:hAnsi="Arial"/>
              </w:rPr>
            </w:pPr>
            <w:r>
              <w:rPr>
                <w:rFonts w:ascii="Arial" w:hAnsi="Arial"/>
              </w:rPr>
              <w:t xml:space="preserve">Municipal </w:t>
            </w:r>
            <w:r w:rsidR="00052DD0">
              <w:rPr>
                <w:rFonts w:ascii="Arial" w:hAnsi="Arial"/>
              </w:rPr>
              <w:t>Public Defender</w:t>
            </w:r>
          </w:p>
        </w:tc>
        <w:tc>
          <w:tcPr>
            <w:tcW w:w="241" w:type="dxa"/>
          </w:tcPr>
          <w:p w14:paraId="566FB38A" w14:textId="77777777" w:rsidR="0011015D" w:rsidRDefault="0011015D" w:rsidP="00C5364E">
            <w:pPr>
              <w:rPr>
                <w:rFonts w:ascii="Arial" w:hAnsi="Arial"/>
              </w:rPr>
            </w:pPr>
          </w:p>
        </w:tc>
        <w:tc>
          <w:tcPr>
            <w:tcW w:w="2352" w:type="dxa"/>
          </w:tcPr>
          <w:p w14:paraId="16478921" w14:textId="3BA7D51B" w:rsidR="00AE3E65" w:rsidRDefault="00FB5338" w:rsidP="00A758E4">
            <w:pPr>
              <w:rPr>
                <w:rFonts w:ascii="Arial" w:hAnsi="Arial"/>
              </w:rPr>
            </w:pPr>
            <w:r>
              <w:rPr>
                <w:rFonts w:ascii="Arial" w:hAnsi="Arial"/>
              </w:rPr>
              <w:t>0</w:t>
            </w:r>
            <w:r w:rsidR="00FA54E1">
              <w:rPr>
                <w:rFonts w:ascii="Arial" w:hAnsi="Arial"/>
              </w:rPr>
              <w:t>-01-</w:t>
            </w:r>
            <w:r w:rsidR="00052DD0">
              <w:rPr>
                <w:rFonts w:ascii="Arial" w:hAnsi="Arial"/>
              </w:rPr>
              <w:t>43</w:t>
            </w:r>
            <w:r w:rsidR="00FA54E1">
              <w:rPr>
                <w:rFonts w:ascii="Arial" w:hAnsi="Arial"/>
              </w:rPr>
              <w:t>-</w:t>
            </w:r>
            <w:r w:rsidR="00052DD0">
              <w:rPr>
                <w:rFonts w:ascii="Arial" w:hAnsi="Arial"/>
              </w:rPr>
              <w:t>495</w:t>
            </w:r>
            <w:r w:rsidR="00FA54E1">
              <w:rPr>
                <w:rFonts w:ascii="Arial" w:hAnsi="Arial"/>
              </w:rPr>
              <w:t>-001-</w:t>
            </w:r>
            <w:r w:rsidR="00052DD0">
              <w:rPr>
                <w:rFonts w:ascii="Arial" w:hAnsi="Arial"/>
              </w:rPr>
              <w:t>012</w:t>
            </w:r>
          </w:p>
        </w:tc>
        <w:tc>
          <w:tcPr>
            <w:tcW w:w="1838" w:type="dxa"/>
          </w:tcPr>
          <w:p w14:paraId="51648237" w14:textId="7778D675" w:rsidR="0011015D" w:rsidRDefault="00FA54E1" w:rsidP="0026152A">
            <w:pPr>
              <w:rPr>
                <w:rFonts w:ascii="Arial" w:hAnsi="Arial"/>
              </w:rPr>
            </w:pPr>
            <w:r>
              <w:rPr>
                <w:rFonts w:ascii="Arial" w:hAnsi="Arial"/>
              </w:rPr>
              <w:t xml:space="preserve">$        </w:t>
            </w:r>
            <w:r w:rsidR="00721E06">
              <w:rPr>
                <w:rFonts w:ascii="Arial" w:hAnsi="Arial"/>
              </w:rPr>
              <w:t xml:space="preserve">  </w:t>
            </w:r>
            <w:r>
              <w:rPr>
                <w:rFonts w:ascii="Arial" w:hAnsi="Arial"/>
              </w:rPr>
              <w:t xml:space="preserve"> </w:t>
            </w:r>
            <w:r w:rsidR="009B7532">
              <w:rPr>
                <w:rFonts w:ascii="Arial" w:hAnsi="Arial"/>
              </w:rPr>
              <w:t xml:space="preserve"> </w:t>
            </w:r>
            <w:r w:rsidR="00FB5338">
              <w:rPr>
                <w:rFonts w:ascii="Arial" w:hAnsi="Arial"/>
              </w:rPr>
              <w:t>5</w:t>
            </w:r>
            <w:r>
              <w:rPr>
                <w:rFonts w:ascii="Arial" w:hAnsi="Arial"/>
              </w:rPr>
              <w:t>,000.00</w:t>
            </w:r>
          </w:p>
        </w:tc>
      </w:tr>
      <w:tr w:rsidR="00721E06" w14:paraId="41A70ED4" w14:textId="77777777" w:rsidTr="00AE574D">
        <w:trPr>
          <w:trHeight w:val="278"/>
          <w:jc w:val="center"/>
        </w:trPr>
        <w:tc>
          <w:tcPr>
            <w:tcW w:w="2660" w:type="dxa"/>
          </w:tcPr>
          <w:p w14:paraId="2F401EA6" w14:textId="20C9B185" w:rsidR="00721E06" w:rsidRDefault="00FB5338" w:rsidP="00D21A38">
            <w:pPr>
              <w:rPr>
                <w:rFonts w:ascii="Arial" w:hAnsi="Arial"/>
              </w:rPr>
            </w:pPr>
            <w:r>
              <w:rPr>
                <w:rFonts w:ascii="Arial" w:hAnsi="Arial"/>
              </w:rPr>
              <w:t>Building &amp; Grounds</w:t>
            </w:r>
          </w:p>
        </w:tc>
        <w:tc>
          <w:tcPr>
            <w:tcW w:w="241" w:type="dxa"/>
          </w:tcPr>
          <w:p w14:paraId="49E49833" w14:textId="77777777" w:rsidR="00721E06" w:rsidRDefault="00721E06">
            <w:pPr>
              <w:rPr>
                <w:rFonts w:ascii="Arial" w:hAnsi="Arial"/>
              </w:rPr>
            </w:pPr>
          </w:p>
        </w:tc>
        <w:tc>
          <w:tcPr>
            <w:tcW w:w="2352" w:type="dxa"/>
          </w:tcPr>
          <w:p w14:paraId="61AFCAD2" w14:textId="631230FA" w:rsidR="00721E06" w:rsidRDefault="00FB5338" w:rsidP="00E00651">
            <w:pPr>
              <w:rPr>
                <w:rFonts w:ascii="Arial" w:hAnsi="Arial"/>
              </w:rPr>
            </w:pPr>
            <w:r>
              <w:rPr>
                <w:rFonts w:ascii="Arial" w:hAnsi="Arial"/>
              </w:rPr>
              <w:t>0</w:t>
            </w:r>
            <w:r w:rsidR="00721E06">
              <w:rPr>
                <w:rFonts w:ascii="Arial" w:hAnsi="Arial"/>
              </w:rPr>
              <w:t>-01-2</w:t>
            </w:r>
            <w:r>
              <w:rPr>
                <w:rFonts w:ascii="Arial" w:hAnsi="Arial"/>
              </w:rPr>
              <w:t>6</w:t>
            </w:r>
            <w:r w:rsidR="00721E06">
              <w:rPr>
                <w:rFonts w:ascii="Arial" w:hAnsi="Arial"/>
              </w:rPr>
              <w:t>-</w:t>
            </w:r>
            <w:r>
              <w:rPr>
                <w:rFonts w:ascii="Arial" w:hAnsi="Arial"/>
              </w:rPr>
              <w:t>310</w:t>
            </w:r>
            <w:r w:rsidR="00721E06">
              <w:rPr>
                <w:rFonts w:ascii="Arial" w:hAnsi="Arial"/>
              </w:rPr>
              <w:t>-001-02</w:t>
            </w:r>
            <w:r>
              <w:rPr>
                <w:rFonts w:ascii="Arial" w:hAnsi="Arial"/>
              </w:rPr>
              <w:t>4</w:t>
            </w:r>
          </w:p>
        </w:tc>
        <w:tc>
          <w:tcPr>
            <w:tcW w:w="1838" w:type="dxa"/>
          </w:tcPr>
          <w:p w14:paraId="3004C284" w14:textId="77777777" w:rsidR="00721E06" w:rsidRDefault="00721E06" w:rsidP="00E00651">
            <w:pPr>
              <w:rPr>
                <w:rFonts w:ascii="Arial" w:hAnsi="Arial"/>
              </w:rPr>
            </w:pPr>
            <w:r>
              <w:rPr>
                <w:rFonts w:ascii="Arial" w:hAnsi="Arial"/>
              </w:rPr>
              <w:t>$          10,000.00</w:t>
            </w:r>
          </w:p>
        </w:tc>
      </w:tr>
      <w:tr w:rsidR="00721E06" w14:paraId="5F5B6CFE" w14:textId="77777777" w:rsidTr="00AE574D">
        <w:trPr>
          <w:trHeight w:val="312"/>
          <w:jc w:val="center"/>
        </w:trPr>
        <w:tc>
          <w:tcPr>
            <w:tcW w:w="2660" w:type="dxa"/>
          </w:tcPr>
          <w:p w14:paraId="40F0C2CB" w14:textId="12E56D37" w:rsidR="00721E06" w:rsidRDefault="00721E06" w:rsidP="002B42B4">
            <w:pPr>
              <w:rPr>
                <w:rFonts w:ascii="Arial" w:hAnsi="Arial"/>
              </w:rPr>
            </w:pPr>
          </w:p>
        </w:tc>
        <w:tc>
          <w:tcPr>
            <w:tcW w:w="241" w:type="dxa"/>
          </w:tcPr>
          <w:p w14:paraId="6F6DAF2C" w14:textId="77777777" w:rsidR="00721E06" w:rsidRDefault="00721E06">
            <w:pPr>
              <w:rPr>
                <w:rFonts w:ascii="Arial" w:hAnsi="Arial"/>
              </w:rPr>
            </w:pPr>
          </w:p>
        </w:tc>
        <w:tc>
          <w:tcPr>
            <w:tcW w:w="2352" w:type="dxa"/>
          </w:tcPr>
          <w:p w14:paraId="5DE62B7C" w14:textId="069B9360" w:rsidR="00721E06" w:rsidRDefault="00721E06" w:rsidP="002D2BC0">
            <w:pPr>
              <w:rPr>
                <w:rFonts w:ascii="Arial" w:hAnsi="Arial"/>
              </w:rPr>
            </w:pPr>
          </w:p>
        </w:tc>
        <w:tc>
          <w:tcPr>
            <w:tcW w:w="1838" w:type="dxa"/>
          </w:tcPr>
          <w:p w14:paraId="621F21AA" w14:textId="19718CCA" w:rsidR="00721E06" w:rsidRPr="00B77781" w:rsidRDefault="00721E06" w:rsidP="00E00651">
            <w:pPr>
              <w:rPr>
                <w:rFonts w:ascii="Arial" w:hAnsi="Arial"/>
                <w:bCs/>
              </w:rPr>
            </w:pPr>
          </w:p>
        </w:tc>
      </w:tr>
      <w:tr w:rsidR="00721E06" w14:paraId="047907B1" w14:textId="77777777" w:rsidTr="00AE574D">
        <w:trPr>
          <w:trHeight w:val="273"/>
          <w:jc w:val="center"/>
        </w:trPr>
        <w:tc>
          <w:tcPr>
            <w:tcW w:w="2660" w:type="dxa"/>
          </w:tcPr>
          <w:p w14:paraId="51713E3D" w14:textId="22C6D726" w:rsidR="00721E06" w:rsidRPr="00AE574D" w:rsidRDefault="00B77781" w:rsidP="00867366">
            <w:pPr>
              <w:rPr>
                <w:rFonts w:ascii="Arial" w:hAnsi="Arial"/>
                <w:b/>
                <w:bCs/>
              </w:rPr>
            </w:pPr>
            <w:r w:rsidRPr="00AE574D">
              <w:rPr>
                <w:rFonts w:ascii="Arial" w:hAnsi="Arial"/>
                <w:b/>
                <w:bCs/>
              </w:rPr>
              <w:t>TOTAL</w:t>
            </w:r>
          </w:p>
        </w:tc>
        <w:tc>
          <w:tcPr>
            <w:tcW w:w="241" w:type="dxa"/>
          </w:tcPr>
          <w:p w14:paraId="006D8E91" w14:textId="77777777" w:rsidR="00721E06" w:rsidRDefault="00721E06">
            <w:pPr>
              <w:rPr>
                <w:rFonts w:ascii="Arial" w:hAnsi="Arial"/>
              </w:rPr>
            </w:pPr>
          </w:p>
        </w:tc>
        <w:tc>
          <w:tcPr>
            <w:tcW w:w="2352" w:type="dxa"/>
          </w:tcPr>
          <w:p w14:paraId="06031371" w14:textId="77777777" w:rsidR="00721E06" w:rsidRDefault="00721E06" w:rsidP="00E00651">
            <w:pPr>
              <w:rPr>
                <w:rFonts w:ascii="Arial" w:hAnsi="Arial"/>
              </w:rPr>
            </w:pPr>
          </w:p>
        </w:tc>
        <w:tc>
          <w:tcPr>
            <w:tcW w:w="1838" w:type="dxa"/>
          </w:tcPr>
          <w:p w14:paraId="3F0D8375" w14:textId="1E4AA004" w:rsidR="00B77781" w:rsidRDefault="00B77781" w:rsidP="00B77781">
            <w:pPr>
              <w:rPr>
                <w:rFonts w:ascii="Arial" w:hAnsi="Arial"/>
              </w:rPr>
            </w:pPr>
            <w:r>
              <w:rPr>
                <w:rFonts w:ascii="Arial" w:hAnsi="Arial"/>
              </w:rPr>
              <w:t>$          15,</w:t>
            </w:r>
            <w:r w:rsidR="00667DC7">
              <w:rPr>
                <w:rFonts w:ascii="Arial" w:hAnsi="Arial"/>
              </w:rPr>
              <w:t>0</w:t>
            </w:r>
            <w:r>
              <w:rPr>
                <w:rFonts w:ascii="Arial" w:hAnsi="Arial"/>
              </w:rPr>
              <w:t>00.00</w:t>
            </w:r>
          </w:p>
        </w:tc>
      </w:tr>
      <w:tr w:rsidR="00721E06" w14:paraId="7052572D" w14:textId="77777777" w:rsidTr="00AE574D">
        <w:trPr>
          <w:trHeight w:val="273"/>
          <w:jc w:val="center"/>
        </w:trPr>
        <w:tc>
          <w:tcPr>
            <w:tcW w:w="2660" w:type="dxa"/>
          </w:tcPr>
          <w:p w14:paraId="3228BFE8" w14:textId="77777777" w:rsidR="00721E06" w:rsidRPr="00AD3A1D" w:rsidRDefault="00721E06" w:rsidP="00B236BF">
            <w:pPr>
              <w:rPr>
                <w:rFonts w:ascii="Arial" w:hAnsi="Arial"/>
              </w:rPr>
            </w:pPr>
            <w:r>
              <w:rPr>
                <w:rFonts w:ascii="Arial" w:hAnsi="Arial"/>
                <w:b/>
              </w:rPr>
              <w:t>From:</w:t>
            </w:r>
          </w:p>
        </w:tc>
        <w:tc>
          <w:tcPr>
            <w:tcW w:w="241" w:type="dxa"/>
          </w:tcPr>
          <w:p w14:paraId="6057005F" w14:textId="77777777" w:rsidR="00721E06" w:rsidRDefault="00721E06" w:rsidP="00CF7B0D">
            <w:pPr>
              <w:rPr>
                <w:rFonts w:ascii="Arial" w:hAnsi="Arial"/>
              </w:rPr>
            </w:pPr>
          </w:p>
        </w:tc>
        <w:tc>
          <w:tcPr>
            <w:tcW w:w="2352" w:type="dxa"/>
          </w:tcPr>
          <w:p w14:paraId="04B6153B" w14:textId="77777777" w:rsidR="00721E06" w:rsidRDefault="00721E06" w:rsidP="00DC5FFD">
            <w:pPr>
              <w:rPr>
                <w:rFonts w:ascii="Arial" w:hAnsi="Arial"/>
              </w:rPr>
            </w:pPr>
          </w:p>
        </w:tc>
        <w:tc>
          <w:tcPr>
            <w:tcW w:w="1838" w:type="dxa"/>
          </w:tcPr>
          <w:p w14:paraId="58592E4E" w14:textId="77777777" w:rsidR="00721E06" w:rsidRDefault="00721E06" w:rsidP="00E71E91">
            <w:pPr>
              <w:rPr>
                <w:rFonts w:ascii="Arial" w:hAnsi="Arial"/>
              </w:rPr>
            </w:pPr>
          </w:p>
        </w:tc>
      </w:tr>
      <w:tr w:rsidR="00721E06" w14:paraId="2226F726" w14:textId="77777777" w:rsidTr="00AE574D">
        <w:trPr>
          <w:trHeight w:val="254"/>
          <w:jc w:val="center"/>
        </w:trPr>
        <w:tc>
          <w:tcPr>
            <w:tcW w:w="2660" w:type="dxa"/>
          </w:tcPr>
          <w:p w14:paraId="21E74852" w14:textId="5337E76E" w:rsidR="00721E06" w:rsidRDefault="00FB5338" w:rsidP="008B7322">
            <w:pPr>
              <w:rPr>
                <w:rFonts w:ascii="Arial" w:hAnsi="Arial"/>
              </w:rPr>
            </w:pPr>
            <w:r>
              <w:rPr>
                <w:rFonts w:ascii="Arial" w:hAnsi="Arial" w:cs="Arial"/>
              </w:rPr>
              <w:t xml:space="preserve">Police </w:t>
            </w:r>
          </w:p>
        </w:tc>
        <w:tc>
          <w:tcPr>
            <w:tcW w:w="241" w:type="dxa"/>
          </w:tcPr>
          <w:p w14:paraId="40CE25B7" w14:textId="77777777" w:rsidR="00721E06" w:rsidRDefault="00721E06" w:rsidP="00CF7B0D">
            <w:pPr>
              <w:rPr>
                <w:rFonts w:ascii="Arial" w:hAnsi="Arial"/>
              </w:rPr>
            </w:pPr>
          </w:p>
        </w:tc>
        <w:tc>
          <w:tcPr>
            <w:tcW w:w="2352" w:type="dxa"/>
          </w:tcPr>
          <w:p w14:paraId="3F89B299" w14:textId="4098E321" w:rsidR="00721E06" w:rsidRDefault="00FB5338" w:rsidP="00BE7486">
            <w:pPr>
              <w:rPr>
                <w:rFonts w:ascii="Arial" w:hAnsi="Arial"/>
              </w:rPr>
            </w:pPr>
            <w:r>
              <w:rPr>
                <w:rFonts w:ascii="Arial" w:hAnsi="Arial"/>
              </w:rPr>
              <w:t>0</w:t>
            </w:r>
            <w:r w:rsidR="00721E06">
              <w:rPr>
                <w:rFonts w:ascii="Arial" w:hAnsi="Arial"/>
              </w:rPr>
              <w:t>-01-2</w:t>
            </w:r>
            <w:r>
              <w:rPr>
                <w:rFonts w:ascii="Arial" w:hAnsi="Arial"/>
              </w:rPr>
              <w:t>5</w:t>
            </w:r>
            <w:r w:rsidR="00721E06">
              <w:rPr>
                <w:rFonts w:ascii="Arial" w:hAnsi="Arial"/>
              </w:rPr>
              <w:t>-</w:t>
            </w:r>
            <w:r>
              <w:rPr>
                <w:rFonts w:ascii="Arial" w:hAnsi="Arial"/>
              </w:rPr>
              <w:t>240</w:t>
            </w:r>
            <w:r w:rsidR="00721E06">
              <w:rPr>
                <w:rFonts w:ascii="Arial" w:hAnsi="Arial"/>
              </w:rPr>
              <w:t>-001-</w:t>
            </w:r>
            <w:r w:rsidR="00A100A2">
              <w:rPr>
                <w:rFonts w:ascii="Arial" w:hAnsi="Arial"/>
              </w:rPr>
              <w:t>011</w:t>
            </w:r>
          </w:p>
        </w:tc>
        <w:tc>
          <w:tcPr>
            <w:tcW w:w="1838" w:type="dxa"/>
            <w:tcBorders>
              <w:bottom w:val="single" w:sz="4" w:space="0" w:color="auto"/>
            </w:tcBorders>
          </w:tcPr>
          <w:p w14:paraId="20957E9C" w14:textId="2D182930" w:rsidR="00721E06" w:rsidRDefault="00721E06" w:rsidP="00F0552F">
            <w:pPr>
              <w:rPr>
                <w:rFonts w:ascii="Arial" w:hAnsi="Arial"/>
              </w:rPr>
            </w:pPr>
            <w:r>
              <w:rPr>
                <w:rFonts w:ascii="Arial" w:hAnsi="Arial"/>
              </w:rPr>
              <w:t>$          1</w:t>
            </w:r>
            <w:r w:rsidR="00FB5338">
              <w:rPr>
                <w:rFonts w:ascii="Arial" w:hAnsi="Arial"/>
              </w:rPr>
              <w:t>5</w:t>
            </w:r>
            <w:r>
              <w:rPr>
                <w:rFonts w:ascii="Arial" w:hAnsi="Arial"/>
              </w:rPr>
              <w:t>,</w:t>
            </w:r>
            <w:r w:rsidR="00667DC7">
              <w:rPr>
                <w:rFonts w:ascii="Arial" w:hAnsi="Arial"/>
              </w:rPr>
              <w:t>0</w:t>
            </w:r>
            <w:r>
              <w:rPr>
                <w:rFonts w:ascii="Arial" w:hAnsi="Arial"/>
              </w:rPr>
              <w:t>00.00</w:t>
            </w:r>
          </w:p>
        </w:tc>
      </w:tr>
      <w:tr w:rsidR="00721E06" w:rsidRPr="00192B01" w14:paraId="61F2F720" w14:textId="77777777" w:rsidTr="00AE574D">
        <w:trPr>
          <w:trHeight w:val="273"/>
          <w:jc w:val="center"/>
        </w:trPr>
        <w:tc>
          <w:tcPr>
            <w:tcW w:w="2660" w:type="dxa"/>
          </w:tcPr>
          <w:p w14:paraId="4BE4236D" w14:textId="77777777" w:rsidR="00721E06" w:rsidRPr="008E6C6F" w:rsidRDefault="00721E06" w:rsidP="00BD1180">
            <w:pPr>
              <w:rPr>
                <w:rFonts w:ascii="Arial" w:hAnsi="Arial"/>
              </w:rPr>
            </w:pPr>
          </w:p>
        </w:tc>
        <w:tc>
          <w:tcPr>
            <w:tcW w:w="241" w:type="dxa"/>
          </w:tcPr>
          <w:p w14:paraId="0A2FF666" w14:textId="77777777" w:rsidR="00721E06" w:rsidRPr="00683B6E" w:rsidRDefault="00721E06" w:rsidP="00CF7B0D">
            <w:pPr>
              <w:rPr>
                <w:rFonts w:ascii="Arial" w:hAnsi="Arial"/>
                <w:b/>
              </w:rPr>
            </w:pPr>
          </w:p>
        </w:tc>
        <w:tc>
          <w:tcPr>
            <w:tcW w:w="2352" w:type="dxa"/>
          </w:tcPr>
          <w:p w14:paraId="6D0C6CCF" w14:textId="77777777" w:rsidR="00721E06" w:rsidRPr="00284801" w:rsidRDefault="00721E06" w:rsidP="00DC5FFD">
            <w:pPr>
              <w:rPr>
                <w:rFonts w:ascii="Arial" w:hAnsi="Arial"/>
              </w:rPr>
            </w:pPr>
          </w:p>
        </w:tc>
        <w:tc>
          <w:tcPr>
            <w:tcW w:w="1838" w:type="dxa"/>
            <w:tcBorders>
              <w:bottom w:val="single" w:sz="4" w:space="0" w:color="auto"/>
            </w:tcBorders>
          </w:tcPr>
          <w:p w14:paraId="10B74587" w14:textId="77777777" w:rsidR="00721E06" w:rsidRPr="00284801" w:rsidRDefault="00721E06" w:rsidP="00E71E91">
            <w:pPr>
              <w:rPr>
                <w:rFonts w:ascii="Arial" w:hAnsi="Arial"/>
              </w:rPr>
            </w:pPr>
          </w:p>
        </w:tc>
      </w:tr>
      <w:tr w:rsidR="00721E06" w14:paraId="43A0E9B0" w14:textId="77777777" w:rsidTr="00AE574D">
        <w:trPr>
          <w:trHeight w:val="278"/>
          <w:jc w:val="center"/>
        </w:trPr>
        <w:tc>
          <w:tcPr>
            <w:tcW w:w="2660" w:type="dxa"/>
          </w:tcPr>
          <w:p w14:paraId="40FF7179" w14:textId="77777777" w:rsidR="00721E06" w:rsidRPr="00192B01" w:rsidRDefault="00721E06" w:rsidP="00CF7B0D">
            <w:pPr>
              <w:rPr>
                <w:rFonts w:ascii="Arial" w:hAnsi="Arial"/>
              </w:rPr>
            </w:pPr>
            <w:r w:rsidRPr="00501623">
              <w:rPr>
                <w:rFonts w:ascii="Arial" w:hAnsi="Arial" w:cs="Arial"/>
                <w:b/>
              </w:rPr>
              <w:t>TOTAL</w:t>
            </w:r>
          </w:p>
        </w:tc>
        <w:tc>
          <w:tcPr>
            <w:tcW w:w="241" w:type="dxa"/>
          </w:tcPr>
          <w:p w14:paraId="22B1098C" w14:textId="77777777" w:rsidR="00721E06" w:rsidRDefault="00721E06" w:rsidP="00CF7B0D">
            <w:pPr>
              <w:rPr>
                <w:rFonts w:ascii="Arial" w:hAnsi="Arial"/>
              </w:rPr>
            </w:pPr>
          </w:p>
        </w:tc>
        <w:tc>
          <w:tcPr>
            <w:tcW w:w="2352" w:type="dxa"/>
          </w:tcPr>
          <w:p w14:paraId="7CC80A7C" w14:textId="77777777" w:rsidR="00721E06" w:rsidRDefault="00721E06" w:rsidP="009D12AA">
            <w:pPr>
              <w:rPr>
                <w:rFonts w:ascii="Arial" w:hAnsi="Arial"/>
              </w:rPr>
            </w:pPr>
          </w:p>
        </w:tc>
        <w:tc>
          <w:tcPr>
            <w:tcW w:w="1838" w:type="dxa"/>
            <w:tcBorders>
              <w:top w:val="single" w:sz="4" w:space="0" w:color="auto"/>
            </w:tcBorders>
          </w:tcPr>
          <w:p w14:paraId="214733F4" w14:textId="403605DA" w:rsidR="00721E06" w:rsidRPr="008E6C6F" w:rsidRDefault="00721E06" w:rsidP="006D1B73">
            <w:pPr>
              <w:rPr>
                <w:rFonts w:ascii="Arial" w:hAnsi="Arial"/>
              </w:rPr>
            </w:pPr>
            <w:r w:rsidRPr="00501623">
              <w:rPr>
                <w:rFonts w:ascii="Arial" w:hAnsi="Arial"/>
                <w:b/>
              </w:rPr>
              <w:t xml:space="preserve">$          </w:t>
            </w:r>
            <w:r>
              <w:rPr>
                <w:rFonts w:ascii="Arial" w:hAnsi="Arial"/>
                <w:b/>
              </w:rPr>
              <w:t>1</w:t>
            </w:r>
            <w:r w:rsidR="00FB5338">
              <w:rPr>
                <w:rFonts w:ascii="Arial" w:hAnsi="Arial"/>
                <w:b/>
              </w:rPr>
              <w:t>5</w:t>
            </w:r>
            <w:r>
              <w:rPr>
                <w:rFonts w:ascii="Arial" w:hAnsi="Arial"/>
                <w:b/>
              </w:rPr>
              <w:t>,</w:t>
            </w:r>
            <w:r w:rsidR="00667DC7">
              <w:rPr>
                <w:rFonts w:ascii="Arial" w:hAnsi="Arial"/>
                <w:b/>
              </w:rPr>
              <w:t>0</w:t>
            </w:r>
            <w:r>
              <w:rPr>
                <w:rFonts w:ascii="Arial" w:hAnsi="Arial"/>
                <w:b/>
              </w:rPr>
              <w:t>00.00</w:t>
            </w:r>
          </w:p>
        </w:tc>
      </w:tr>
      <w:tr w:rsidR="00721E06" w14:paraId="1DC0A99C" w14:textId="77777777" w:rsidTr="00AE574D">
        <w:trPr>
          <w:trHeight w:val="76"/>
          <w:jc w:val="center"/>
        </w:trPr>
        <w:tc>
          <w:tcPr>
            <w:tcW w:w="2660" w:type="dxa"/>
          </w:tcPr>
          <w:p w14:paraId="0F31DACF" w14:textId="77777777" w:rsidR="00721E06" w:rsidRPr="00BD1180" w:rsidRDefault="00721E06" w:rsidP="00DC5FFD">
            <w:pPr>
              <w:rPr>
                <w:rFonts w:ascii="Arial" w:hAnsi="Arial"/>
              </w:rPr>
            </w:pPr>
          </w:p>
        </w:tc>
        <w:tc>
          <w:tcPr>
            <w:tcW w:w="241" w:type="dxa"/>
          </w:tcPr>
          <w:p w14:paraId="06A3F0D3" w14:textId="77777777" w:rsidR="00721E06" w:rsidRDefault="00721E06" w:rsidP="00CF7B0D">
            <w:pPr>
              <w:rPr>
                <w:rFonts w:ascii="Arial" w:hAnsi="Arial"/>
              </w:rPr>
            </w:pPr>
          </w:p>
        </w:tc>
        <w:tc>
          <w:tcPr>
            <w:tcW w:w="2352" w:type="dxa"/>
          </w:tcPr>
          <w:p w14:paraId="5A5A75EA" w14:textId="77777777" w:rsidR="00721E06" w:rsidRDefault="00721E06" w:rsidP="007B5F0E">
            <w:pPr>
              <w:rPr>
                <w:rFonts w:ascii="Arial" w:hAnsi="Arial"/>
              </w:rPr>
            </w:pPr>
          </w:p>
        </w:tc>
        <w:tc>
          <w:tcPr>
            <w:tcW w:w="1838" w:type="dxa"/>
          </w:tcPr>
          <w:p w14:paraId="5B6A72BD" w14:textId="77777777" w:rsidR="00721E06" w:rsidRDefault="00721E06" w:rsidP="00771EFB">
            <w:pPr>
              <w:rPr>
                <w:rFonts w:ascii="Arial" w:hAnsi="Arial"/>
              </w:rPr>
            </w:pPr>
          </w:p>
        </w:tc>
      </w:tr>
    </w:tbl>
    <w:p w14:paraId="11CCC7CB" w14:textId="09A0BB42" w:rsidR="0011015D" w:rsidRDefault="0011015D" w:rsidP="00393F6D">
      <w:pPr>
        <w:keepNext/>
        <w:jc w:val="center"/>
        <w:outlineLvl w:val="1"/>
        <w:rPr>
          <w:sz w:val="24"/>
        </w:rPr>
      </w:pPr>
    </w:p>
    <w:sectPr w:rsidR="0011015D" w:rsidSect="00393F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19095" w14:textId="77777777" w:rsidR="00393F6D" w:rsidRDefault="00393F6D" w:rsidP="00393F6D">
      <w:r>
        <w:separator/>
      </w:r>
    </w:p>
  </w:endnote>
  <w:endnote w:type="continuationSeparator" w:id="0">
    <w:p w14:paraId="2408AA8E" w14:textId="77777777" w:rsidR="00393F6D" w:rsidRDefault="00393F6D" w:rsidP="003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8439A" w14:textId="77777777" w:rsidR="00393F6D" w:rsidRDefault="0039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82F8F" w14:textId="77777777" w:rsidR="00393F6D" w:rsidRDefault="0039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D4AF3" w14:textId="77777777" w:rsidR="00393F6D" w:rsidRDefault="0039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2FBB5" w14:textId="77777777" w:rsidR="00393F6D" w:rsidRDefault="00393F6D" w:rsidP="00393F6D">
      <w:r>
        <w:separator/>
      </w:r>
    </w:p>
  </w:footnote>
  <w:footnote w:type="continuationSeparator" w:id="0">
    <w:p w14:paraId="613B054C" w14:textId="77777777" w:rsidR="00393F6D" w:rsidRDefault="00393F6D" w:rsidP="0039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71EBC" w14:textId="77777777" w:rsidR="00393F6D" w:rsidRDefault="0039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511B5" w14:textId="79F15766" w:rsidR="00393F6D" w:rsidRDefault="0039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A4A7F" w14:textId="77777777" w:rsidR="00393F6D" w:rsidRDefault="00393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1471F"/>
    <w:rsid w:val="000411A1"/>
    <w:rsid w:val="00052DD0"/>
    <w:rsid w:val="00052ECE"/>
    <w:rsid w:val="00071D71"/>
    <w:rsid w:val="00077C6F"/>
    <w:rsid w:val="0008691E"/>
    <w:rsid w:val="00095EAC"/>
    <w:rsid w:val="000974F4"/>
    <w:rsid w:val="000B6557"/>
    <w:rsid w:val="000D2423"/>
    <w:rsid w:val="000D2A7B"/>
    <w:rsid w:val="000D5745"/>
    <w:rsid w:val="000E5981"/>
    <w:rsid w:val="000F26AB"/>
    <w:rsid w:val="0011015D"/>
    <w:rsid w:val="00117E44"/>
    <w:rsid w:val="00126266"/>
    <w:rsid w:val="00145E43"/>
    <w:rsid w:val="00147CD2"/>
    <w:rsid w:val="00154161"/>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6152A"/>
    <w:rsid w:val="0027582D"/>
    <w:rsid w:val="0028233B"/>
    <w:rsid w:val="00284801"/>
    <w:rsid w:val="002966D9"/>
    <w:rsid w:val="002A2553"/>
    <w:rsid w:val="002A6892"/>
    <w:rsid w:val="002B42B4"/>
    <w:rsid w:val="002D2BC0"/>
    <w:rsid w:val="002E4DE7"/>
    <w:rsid w:val="002F2CAC"/>
    <w:rsid w:val="002F7854"/>
    <w:rsid w:val="003317C8"/>
    <w:rsid w:val="0033257C"/>
    <w:rsid w:val="00350432"/>
    <w:rsid w:val="00366B63"/>
    <w:rsid w:val="0036758F"/>
    <w:rsid w:val="00374065"/>
    <w:rsid w:val="0038524B"/>
    <w:rsid w:val="00393F6D"/>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A31E5"/>
    <w:rsid w:val="004B02E1"/>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345A3"/>
    <w:rsid w:val="00643BC4"/>
    <w:rsid w:val="00651E05"/>
    <w:rsid w:val="00651E45"/>
    <w:rsid w:val="00667DC7"/>
    <w:rsid w:val="006717C7"/>
    <w:rsid w:val="00683B6E"/>
    <w:rsid w:val="006A1ADB"/>
    <w:rsid w:val="006B2947"/>
    <w:rsid w:val="006C450E"/>
    <w:rsid w:val="006D1B73"/>
    <w:rsid w:val="006E260F"/>
    <w:rsid w:val="0070388D"/>
    <w:rsid w:val="007043B7"/>
    <w:rsid w:val="00716CB4"/>
    <w:rsid w:val="00720B2C"/>
    <w:rsid w:val="00721E06"/>
    <w:rsid w:val="00723364"/>
    <w:rsid w:val="00737B94"/>
    <w:rsid w:val="007419C6"/>
    <w:rsid w:val="00745C16"/>
    <w:rsid w:val="007509A4"/>
    <w:rsid w:val="007653CF"/>
    <w:rsid w:val="007715EF"/>
    <w:rsid w:val="00771EFB"/>
    <w:rsid w:val="00775224"/>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F1"/>
    <w:rsid w:val="00847B40"/>
    <w:rsid w:val="00851795"/>
    <w:rsid w:val="00867366"/>
    <w:rsid w:val="00885E27"/>
    <w:rsid w:val="00891344"/>
    <w:rsid w:val="008976DD"/>
    <w:rsid w:val="008A05D0"/>
    <w:rsid w:val="008B1F86"/>
    <w:rsid w:val="008B7322"/>
    <w:rsid w:val="008E0AD6"/>
    <w:rsid w:val="008E6C6F"/>
    <w:rsid w:val="008E6F5D"/>
    <w:rsid w:val="00903F8B"/>
    <w:rsid w:val="00905499"/>
    <w:rsid w:val="00911CD3"/>
    <w:rsid w:val="0091371C"/>
    <w:rsid w:val="00914952"/>
    <w:rsid w:val="0093515A"/>
    <w:rsid w:val="00943A35"/>
    <w:rsid w:val="00947F22"/>
    <w:rsid w:val="00971411"/>
    <w:rsid w:val="00974F4A"/>
    <w:rsid w:val="009913A3"/>
    <w:rsid w:val="009A3B38"/>
    <w:rsid w:val="009A6330"/>
    <w:rsid w:val="009B7532"/>
    <w:rsid w:val="009C46B6"/>
    <w:rsid w:val="009D12AA"/>
    <w:rsid w:val="009D623C"/>
    <w:rsid w:val="009F47BF"/>
    <w:rsid w:val="00A01BB9"/>
    <w:rsid w:val="00A073DE"/>
    <w:rsid w:val="00A100A2"/>
    <w:rsid w:val="00A11396"/>
    <w:rsid w:val="00A3051A"/>
    <w:rsid w:val="00A3216F"/>
    <w:rsid w:val="00A54A0E"/>
    <w:rsid w:val="00A74A98"/>
    <w:rsid w:val="00A758E4"/>
    <w:rsid w:val="00A81C85"/>
    <w:rsid w:val="00A82CA2"/>
    <w:rsid w:val="00A90410"/>
    <w:rsid w:val="00A95878"/>
    <w:rsid w:val="00A96399"/>
    <w:rsid w:val="00A96ACE"/>
    <w:rsid w:val="00A97763"/>
    <w:rsid w:val="00AA415B"/>
    <w:rsid w:val="00AD1CE6"/>
    <w:rsid w:val="00AD3A1D"/>
    <w:rsid w:val="00AD6436"/>
    <w:rsid w:val="00AE3B56"/>
    <w:rsid w:val="00AE3E65"/>
    <w:rsid w:val="00AE574D"/>
    <w:rsid w:val="00B04DBB"/>
    <w:rsid w:val="00B11D28"/>
    <w:rsid w:val="00B14F33"/>
    <w:rsid w:val="00B236BF"/>
    <w:rsid w:val="00B25C36"/>
    <w:rsid w:val="00B3393F"/>
    <w:rsid w:val="00B348C7"/>
    <w:rsid w:val="00B62FAC"/>
    <w:rsid w:val="00B77781"/>
    <w:rsid w:val="00B849DD"/>
    <w:rsid w:val="00B86198"/>
    <w:rsid w:val="00B87DD1"/>
    <w:rsid w:val="00B94AB4"/>
    <w:rsid w:val="00BD1180"/>
    <w:rsid w:val="00BD52F3"/>
    <w:rsid w:val="00BE4EAA"/>
    <w:rsid w:val="00BE7486"/>
    <w:rsid w:val="00BF34A1"/>
    <w:rsid w:val="00BF3FF2"/>
    <w:rsid w:val="00C17E9E"/>
    <w:rsid w:val="00C3020E"/>
    <w:rsid w:val="00C3785B"/>
    <w:rsid w:val="00C47C8A"/>
    <w:rsid w:val="00C5364E"/>
    <w:rsid w:val="00C53E8B"/>
    <w:rsid w:val="00C57D37"/>
    <w:rsid w:val="00C67939"/>
    <w:rsid w:val="00C70121"/>
    <w:rsid w:val="00C9109E"/>
    <w:rsid w:val="00C94983"/>
    <w:rsid w:val="00CA6A96"/>
    <w:rsid w:val="00CA72E2"/>
    <w:rsid w:val="00CB4582"/>
    <w:rsid w:val="00CB5422"/>
    <w:rsid w:val="00CC2B7A"/>
    <w:rsid w:val="00CC427C"/>
    <w:rsid w:val="00CD4560"/>
    <w:rsid w:val="00CF7B0D"/>
    <w:rsid w:val="00D10048"/>
    <w:rsid w:val="00D125F5"/>
    <w:rsid w:val="00D21A38"/>
    <w:rsid w:val="00D52CFD"/>
    <w:rsid w:val="00D6095E"/>
    <w:rsid w:val="00D60F78"/>
    <w:rsid w:val="00D74DCD"/>
    <w:rsid w:val="00D8179C"/>
    <w:rsid w:val="00DC5FFD"/>
    <w:rsid w:val="00DC6F91"/>
    <w:rsid w:val="00DE5862"/>
    <w:rsid w:val="00DE67D4"/>
    <w:rsid w:val="00E00651"/>
    <w:rsid w:val="00E255C7"/>
    <w:rsid w:val="00E32D8D"/>
    <w:rsid w:val="00E36B38"/>
    <w:rsid w:val="00E45FD8"/>
    <w:rsid w:val="00E473F4"/>
    <w:rsid w:val="00E553B5"/>
    <w:rsid w:val="00E616BD"/>
    <w:rsid w:val="00E61F57"/>
    <w:rsid w:val="00E71E91"/>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6ADB"/>
    <w:rsid w:val="00F66BEF"/>
    <w:rsid w:val="00F71564"/>
    <w:rsid w:val="00F8038C"/>
    <w:rsid w:val="00F95418"/>
    <w:rsid w:val="00F95997"/>
    <w:rsid w:val="00F95D4A"/>
    <w:rsid w:val="00FA54E1"/>
    <w:rsid w:val="00FA59F9"/>
    <w:rsid w:val="00FB5338"/>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B396E2"/>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 w:type="paragraph" w:styleId="Header">
    <w:name w:val="header"/>
    <w:basedOn w:val="Normal"/>
    <w:link w:val="HeaderChar"/>
    <w:rsid w:val="00393F6D"/>
    <w:pPr>
      <w:tabs>
        <w:tab w:val="center" w:pos="4680"/>
        <w:tab w:val="right" w:pos="9360"/>
      </w:tabs>
    </w:pPr>
  </w:style>
  <w:style w:type="character" w:customStyle="1" w:styleId="HeaderChar">
    <w:name w:val="Header Char"/>
    <w:basedOn w:val="DefaultParagraphFont"/>
    <w:link w:val="Header"/>
    <w:rsid w:val="00393F6D"/>
  </w:style>
  <w:style w:type="paragraph" w:styleId="Footer">
    <w:name w:val="footer"/>
    <w:basedOn w:val="Normal"/>
    <w:link w:val="FooterChar"/>
    <w:rsid w:val="00393F6D"/>
    <w:pPr>
      <w:tabs>
        <w:tab w:val="center" w:pos="4680"/>
        <w:tab w:val="right" w:pos="9360"/>
      </w:tabs>
    </w:pPr>
  </w:style>
  <w:style w:type="character" w:customStyle="1" w:styleId="FooterChar">
    <w:name w:val="Footer Char"/>
    <w:basedOn w:val="DefaultParagraphFont"/>
    <w:link w:val="Footer"/>
    <w:rsid w:val="0039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94BB-0B0E-4944-9D0C-88F9A1B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1172</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RESOLUTION RE: Authorizing the Transfer of 2004 Appropriations</vt:lpstr>
    </vt:vector>
  </TitlesOfParts>
  <Company>Borough of Bloomingdale</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Appropriations</dc:title>
  <dc:subject/>
  <dc:creator>Beverly</dc:creator>
  <cp:keywords/>
  <cp:lastModifiedBy>Breeanna Calabro</cp:lastModifiedBy>
  <cp:revision>5</cp:revision>
  <cp:lastPrinted>2019-11-06T17:20:00Z</cp:lastPrinted>
  <dcterms:created xsi:type="dcterms:W3CDTF">2020-11-03T20:22:00Z</dcterms:created>
  <dcterms:modified xsi:type="dcterms:W3CDTF">2020-11-03T21:32:00Z</dcterms:modified>
</cp:coreProperties>
</file>