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D41071">
        <w:rPr>
          <w:rFonts w:ascii="Arial" w:hAnsi="Arial"/>
          <w:b/>
          <w:sz w:val="22"/>
          <w:szCs w:val="20"/>
        </w:rPr>
        <w:t>MARZANO ASSOCIATES, LLC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D41071">
        <w:rPr>
          <w:rFonts w:ascii="Arial" w:hAnsi="Arial"/>
          <w:b/>
          <w:sz w:val="22"/>
          <w:szCs w:val="20"/>
        </w:rPr>
        <w:t>5060</w:t>
      </w:r>
      <w:r w:rsidR="00415227">
        <w:rPr>
          <w:rFonts w:ascii="Arial" w:hAnsi="Arial"/>
          <w:b/>
          <w:sz w:val="22"/>
          <w:szCs w:val="20"/>
        </w:rPr>
        <w:t xml:space="preserve">, LOT </w:t>
      </w:r>
      <w:r w:rsidR="00D41071">
        <w:rPr>
          <w:rFonts w:ascii="Arial" w:hAnsi="Arial"/>
          <w:b/>
          <w:sz w:val="22"/>
          <w:szCs w:val="20"/>
        </w:rPr>
        <w:t>2</w:t>
      </w:r>
      <w:r w:rsidR="00173F1D">
        <w:rPr>
          <w:rFonts w:ascii="Arial" w:hAnsi="Arial"/>
          <w:b/>
          <w:sz w:val="22"/>
          <w:szCs w:val="20"/>
        </w:rPr>
        <w:t>3</w:t>
      </w:r>
      <w:r w:rsidR="00415227">
        <w:rPr>
          <w:rFonts w:ascii="Arial" w:hAnsi="Arial"/>
          <w:b/>
          <w:sz w:val="22"/>
          <w:szCs w:val="20"/>
        </w:rPr>
        <w:t xml:space="preserve"> – </w:t>
      </w:r>
      <w:r w:rsidR="00D41071">
        <w:rPr>
          <w:rFonts w:ascii="Arial" w:hAnsi="Arial"/>
          <w:b/>
          <w:sz w:val="22"/>
          <w:szCs w:val="20"/>
        </w:rPr>
        <w:t>9</w:t>
      </w:r>
      <w:r w:rsidR="00173F1D">
        <w:rPr>
          <w:rFonts w:ascii="Arial" w:hAnsi="Arial"/>
          <w:b/>
          <w:sz w:val="22"/>
          <w:szCs w:val="20"/>
        </w:rPr>
        <w:t>3</w:t>
      </w:r>
      <w:r w:rsidR="004B56B7">
        <w:rPr>
          <w:rFonts w:ascii="Arial" w:hAnsi="Arial"/>
          <w:b/>
          <w:sz w:val="22"/>
          <w:szCs w:val="20"/>
        </w:rPr>
        <w:t xml:space="preserve"> MAIN ST.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>appeals of the</w:t>
      </w:r>
      <w:r w:rsidR="00144B5B">
        <w:rPr>
          <w:rFonts w:ascii="Arial" w:hAnsi="Arial"/>
          <w:sz w:val="22"/>
          <w:szCs w:val="20"/>
        </w:rPr>
        <w:t xml:space="preserve"> </w:t>
      </w:r>
      <w:r w:rsidR="00173F1D">
        <w:rPr>
          <w:rFonts w:ascii="Arial" w:hAnsi="Arial"/>
          <w:sz w:val="22"/>
          <w:szCs w:val="20"/>
        </w:rPr>
        <w:t>2013</w:t>
      </w:r>
      <w:r w:rsidR="00D41071">
        <w:rPr>
          <w:rFonts w:ascii="Arial" w:hAnsi="Arial"/>
          <w:sz w:val="22"/>
          <w:szCs w:val="20"/>
        </w:rPr>
        <w:t xml:space="preserve">, </w:t>
      </w:r>
      <w:r w:rsidR="00173F1D">
        <w:rPr>
          <w:rFonts w:ascii="Arial" w:hAnsi="Arial"/>
          <w:sz w:val="22"/>
          <w:szCs w:val="20"/>
        </w:rPr>
        <w:t xml:space="preserve"> </w:t>
      </w:r>
      <w:r w:rsidR="00D45E67">
        <w:rPr>
          <w:rFonts w:ascii="Arial" w:hAnsi="Arial"/>
          <w:sz w:val="22"/>
          <w:szCs w:val="20"/>
        </w:rPr>
        <w:t xml:space="preserve">2014 </w:t>
      </w:r>
      <w:r w:rsidR="00D41071">
        <w:rPr>
          <w:rFonts w:ascii="Arial" w:hAnsi="Arial"/>
          <w:sz w:val="22"/>
          <w:szCs w:val="20"/>
        </w:rPr>
        <w:t xml:space="preserve">and 2015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D41071">
        <w:rPr>
          <w:rFonts w:ascii="Arial" w:hAnsi="Arial"/>
          <w:sz w:val="22"/>
          <w:szCs w:val="20"/>
        </w:rPr>
        <w:t>5060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D41071">
        <w:rPr>
          <w:rFonts w:ascii="Arial" w:hAnsi="Arial"/>
          <w:sz w:val="22"/>
          <w:szCs w:val="20"/>
        </w:rPr>
        <w:t>2</w:t>
      </w:r>
      <w:r w:rsidR="00173F1D">
        <w:rPr>
          <w:rFonts w:ascii="Arial" w:hAnsi="Arial"/>
          <w:sz w:val="22"/>
          <w:szCs w:val="20"/>
        </w:rPr>
        <w:t>3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D41071">
        <w:rPr>
          <w:rFonts w:ascii="Arial" w:hAnsi="Arial"/>
          <w:sz w:val="22"/>
          <w:szCs w:val="20"/>
        </w:rPr>
        <w:t>9</w:t>
      </w:r>
      <w:r w:rsidR="00173F1D">
        <w:rPr>
          <w:rFonts w:ascii="Arial" w:hAnsi="Arial"/>
          <w:sz w:val="22"/>
          <w:szCs w:val="20"/>
        </w:rPr>
        <w:t>3</w:t>
      </w:r>
      <w:r w:rsidR="004B56B7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173F1D">
        <w:rPr>
          <w:rFonts w:ascii="Arial" w:hAnsi="Arial"/>
          <w:sz w:val="22"/>
          <w:szCs w:val="20"/>
        </w:rPr>
        <w:t xml:space="preserve">by </w:t>
      </w:r>
      <w:r w:rsidR="00D41071">
        <w:rPr>
          <w:rFonts w:ascii="Arial" w:hAnsi="Arial"/>
          <w:sz w:val="22"/>
          <w:szCs w:val="20"/>
        </w:rPr>
        <w:t>Marzano Associates, LLC</w:t>
      </w:r>
      <w:r w:rsidR="00173F1D">
        <w:rPr>
          <w:rFonts w:ascii="Arial" w:hAnsi="Arial"/>
          <w:sz w:val="22"/>
          <w:szCs w:val="20"/>
        </w:rPr>
        <w:t>.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173F1D">
        <w:rPr>
          <w:rFonts w:ascii="Arial" w:hAnsi="Arial"/>
          <w:sz w:val="22"/>
          <w:szCs w:val="20"/>
        </w:rPr>
        <w:t>2013</w:t>
      </w:r>
      <w:r w:rsidR="00D41071">
        <w:rPr>
          <w:rFonts w:ascii="Arial" w:hAnsi="Arial"/>
          <w:sz w:val="22"/>
          <w:szCs w:val="20"/>
        </w:rPr>
        <w:t>,</w:t>
      </w:r>
      <w:r w:rsidR="00173F1D">
        <w:rPr>
          <w:rFonts w:ascii="Arial" w:hAnsi="Arial"/>
          <w:sz w:val="22"/>
          <w:szCs w:val="20"/>
        </w:rPr>
        <w:t xml:space="preserve"> 2014 </w:t>
      </w:r>
      <w:r w:rsidR="00D41071">
        <w:rPr>
          <w:rFonts w:ascii="Arial" w:hAnsi="Arial"/>
          <w:sz w:val="22"/>
          <w:szCs w:val="20"/>
        </w:rPr>
        <w:t xml:space="preserve">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D41071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1071" w:rsidRPr="00785395" w:rsidRDefault="00D41071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D41071" w:rsidRDefault="00D41071" w:rsidP="00D41071">
            <w:r w:rsidRPr="00224353">
              <w:rPr>
                <w:rFonts w:ascii="Arial" w:eastAsia="Calibri" w:hAnsi="Arial" w:cs="Arial"/>
                <w:sz w:val="22"/>
                <w:szCs w:val="22"/>
              </w:rPr>
              <w:t>$</w:t>
            </w:r>
            <w:r>
              <w:rPr>
                <w:rFonts w:ascii="Arial" w:eastAsia="Calibri" w:hAnsi="Arial" w:cs="Arial"/>
                <w:sz w:val="22"/>
                <w:szCs w:val="22"/>
              </w:rPr>
              <w:t>388,500</w:t>
            </w:r>
          </w:p>
        </w:tc>
        <w:tc>
          <w:tcPr>
            <w:tcW w:w="2364" w:type="dxa"/>
            <w:shd w:val="clear" w:color="auto" w:fill="auto"/>
          </w:tcPr>
          <w:p w:rsidR="00D41071" w:rsidRDefault="00D41071">
            <w:r w:rsidRPr="00581F7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1857" w:type="dxa"/>
          </w:tcPr>
          <w:p w:rsidR="00D41071" w:rsidRDefault="00D41071">
            <w:r w:rsidRPr="0090113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</w:tr>
      <w:tr w:rsidR="00D41071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1071" w:rsidRDefault="00D41071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D41071" w:rsidRDefault="00D41071">
            <w:r w:rsidRPr="00AA1952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2364" w:type="dxa"/>
            <w:shd w:val="clear" w:color="auto" w:fill="auto"/>
          </w:tcPr>
          <w:p w:rsidR="00D41071" w:rsidRDefault="00D41071">
            <w:r w:rsidRPr="00581F7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1857" w:type="dxa"/>
          </w:tcPr>
          <w:p w:rsidR="00D41071" w:rsidRDefault="00D41071" w:rsidP="00D41071">
            <w:r w:rsidRPr="0090113E">
              <w:rPr>
                <w:rFonts w:ascii="Arial" w:eastAsia="Calibri" w:hAnsi="Arial" w:cs="Arial"/>
                <w:sz w:val="22"/>
                <w:szCs w:val="22"/>
              </w:rPr>
              <w:t>$350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90113E">
              <w:rPr>
                <w:rFonts w:ascii="Arial" w:eastAsia="Calibri" w:hAnsi="Arial" w:cs="Arial"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  <w:tr w:rsidR="00D41071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D41071" w:rsidRDefault="00D41071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D41071" w:rsidRDefault="00D41071">
            <w:r w:rsidRPr="00AA1952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2364" w:type="dxa"/>
            <w:shd w:val="clear" w:color="auto" w:fill="auto"/>
          </w:tcPr>
          <w:p w:rsidR="00D41071" w:rsidRDefault="00D41071">
            <w:r w:rsidRPr="00581F7E">
              <w:rPr>
                <w:rFonts w:ascii="Arial" w:eastAsia="Calibri" w:hAnsi="Arial" w:cs="Arial"/>
                <w:sz w:val="22"/>
                <w:szCs w:val="22"/>
              </w:rPr>
              <w:t>$388,500</w:t>
            </w:r>
          </w:p>
        </w:tc>
        <w:tc>
          <w:tcPr>
            <w:tcW w:w="1857" w:type="dxa"/>
          </w:tcPr>
          <w:p w:rsidR="00D41071" w:rsidRDefault="00D41071" w:rsidP="00D41071">
            <w:r w:rsidRPr="0090113E">
              <w:rPr>
                <w:rFonts w:ascii="Arial" w:eastAsia="Calibri" w:hAnsi="Arial" w:cs="Arial"/>
                <w:sz w:val="22"/>
                <w:szCs w:val="22"/>
              </w:rPr>
              <w:t>$3</w:t>
            </w:r>
            <w:r>
              <w:rPr>
                <w:rFonts w:ascii="Arial" w:eastAsia="Calibri" w:hAnsi="Arial" w:cs="Arial"/>
                <w:sz w:val="22"/>
                <w:szCs w:val="22"/>
              </w:rPr>
              <w:t>25,</w:t>
            </w:r>
            <w:r w:rsidRPr="0090113E">
              <w:rPr>
                <w:rFonts w:ascii="Arial" w:eastAsia="Calibri" w:hAnsi="Arial" w:cs="Arial"/>
                <w:sz w:val="22"/>
                <w:szCs w:val="22"/>
              </w:rPr>
              <w:t>0</w:t>
            </w:r>
            <w:r>
              <w:rPr>
                <w:rFonts w:ascii="Arial" w:eastAsia="Calibri" w:hAnsi="Arial" w:cs="Arial"/>
                <w:sz w:val="22"/>
                <w:szCs w:val="22"/>
              </w:rPr>
              <w:t>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4B56B7">
        <w:rPr>
          <w:rFonts w:ascii="Arial" w:hAnsi="Arial" w:cs="Arial"/>
          <w:sz w:val="22"/>
          <w:szCs w:val="22"/>
        </w:rPr>
        <w:t>6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4B56B7">
        <w:rPr>
          <w:rFonts w:ascii="Arial" w:hAnsi="Arial" w:cs="Arial"/>
          <w:sz w:val="22"/>
          <w:szCs w:val="22"/>
        </w:rPr>
        <w:t>6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44B5B"/>
    <w:rsid w:val="00173F1D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4B56B7"/>
    <w:rsid w:val="0057453B"/>
    <w:rsid w:val="005A4919"/>
    <w:rsid w:val="005C5CC7"/>
    <w:rsid w:val="006436D2"/>
    <w:rsid w:val="006568EE"/>
    <w:rsid w:val="006D1770"/>
    <w:rsid w:val="00711F1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AC3F5B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1071"/>
    <w:rsid w:val="00D43F7D"/>
    <w:rsid w:val="00D45E67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5CAAD3-CC75-44D4-B93A-B599C0CC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2016-11-07T15:59:00Z</cp:lastPrinted>
  <dcterms:created xsi:type="dcterms:W3CDTF">2016-11-07T15:59:00Z</dcterms:created>
  <dcterms:modified xsi:type="dcterms:W3CDTF">2016-11-07T15:59:00Z</dcterms:modified>
</cp:coreProperties>
</file>