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30" w:rsidRDefault="003D3030" w:rsidP="003D3030">
      <w:pPr>
        <w:jc w:val="center"/>
        <w:rPr>
          <w:rFonts w:ascii="Arial" w:hAnsi="Arial"/>
          <w:b/>
          <w:sz w:val="23"/>
          <w:szCs w:val="23"/>
        </w:rPr>
      </w:pPr>
      <w:r>
        <w:rPr>
          <w:rFonts w:ascii="Arial" w:hAnsi="Arial"/>
          <w:b/>
          <w:sz w:val="23"/>
          <w:szCs w:val="23"/>
        </w:rPr>
        <w:t>ORDINANCE NO. 14-2016</w:t>
      </w:r>
    </w:p>
    <w:p w:rsidR="003D3030" w:rsidRPr="005175DA" w:rsidRDefault="003D3030" w:rsidP="003D3030">
      <w:pPr>
        <w:jc w:val="center"/>
        <w:rPr>
          <w:rFonts w:ascii="Arial" w:hAnsi="Arial"/>
          <w:b/>
          <w:sz w:val="23"/>
          <w:szCs w:val="23"/>
        </w:rPr>
      </w:pPr>
      <w:r w:rsidRPr="005175DA">
        <w:rPr>
          <w:rFonts w:ascii="Arial" w:hAnsi="Arial"/>
          <w:b/>
          <w:sz w:val="23"/>
          <w:szCs w:val="23"/>
        </w:rPr>
        <w:t xml:space="preserve">BOROUGH OF </w:t>
      </w:r>
      <w:r>
        <w:rPr>
          <w:rFonts w:ascii="Arial" w:hAnsi="Arial"/>
          <w:b/>
          <w:sz w:val="23"/>
          <w:szCs w:val="23"/>
        </w:rPr>
        <w:t>BLOOMINGDALE</w:t>
      </w:r>
    </w:p>
    <w:p w:rsidR="003D3030" w:rsidRPr="005175DA" w:rsidRDefault="003D3030" w:rsidP="003D3030">
      <w:pPr>
        <w:jc w:val="center"/>
        <w:rPr>
          <w:rFonts w:ascii="Arial" w:hAnsi="Arial"/>
          <w:b/>
          <w:sz w:val="23"/>
          <w:szCs w:val="23"/>
        </w:rPr>
      </w:pPr>
      <w:r w:rsidRPr="005175DA">
        <w:rPr>
          <w:rFonts w:ascii="Arial" w:hAnsi="Arial"/>
          <w:b/>
          <w:sz w:val="23"/>
          <w:szCs w:val="23"/>
        </w:rPr>
        <w:t>PUBLIC NOTICE</w:t>
      </w:r>
    </w:p>
    <w:p w:rsidR="003D3030" w:rsidRPr="005175DA" w:rsidRDefault="003D3030" w:rsidP="003D3030">
      <w:pPr>
        <w:jc w:val="center"/>
        <w:rPr>
          <w:rFonts w:ascii="Arial" w:hAnsi="Arial"/>
          <w:snapToGrid/>
          <w:sz w:val="23"/>
          <w:szCs w:val="23"/>
          <w:u w:val="single"/>
        </w:rPr>
      </w:pPr>
      <w:r w:rsidRPr="005175DA">
        <w:rPr>
          <w:rFonts w:ascii="Arial" w:hAnsi="Arial"/>
          <w:b/>
          <w:sz w:val="23"/>
          <w:szCs w:val="23"/>
          <w:u w:val="single"/>
        </w:rPr>
        <w:t>NOTICE OF PENDING BOND ORDINANCE AND SUMMARY</w:t>
      </w:r>
    </w:p>
    <w:p w:rsidR="003D3030" w:rsidRPr="005175DA" w:rsidRDefault="003D3030" w:rsidP="003D3030">
      <w:pPr>
        <w:jc w:val="center"/>
        <w:rPr>
          <w:rFonts w:ascii="Arial" w:hAnsi="Arial"/>
          <w:sz w:val="23"/>
          <w:szCs w:val="23"/>
        </w:rPr>
      </w:pPr>
      <w:r w:rsidRPr="005175DA">
        <w:rPr>
          <w:rFonts w:ascii="Arial" w:hAnsi="Arial"/>
          <w:sz w:val="23"/>
          <w:szCs w:val="23"/>
        </w:rPr>
        <w:t> </w:t>
      </w:r>
    </w:p>
    <w:p w:rsidR="003D3030" w:rsidRPr="005175DA" w:rsidRDefault="003D3030" w:rsidP="003D3030">
      <w:pPr>
        <w:jc w:val="both"/>
        <w:rPr>
          <w:rFonts w:ascii="Arial" w:hAnsi="Arial"/>
          <w:sz w:val="23"/>
          <w:szCs w:val="23"/>
        </w:rPr>
      </w:pPr>
      <w:r w:rsidRPr="005175DA">
        <w:rPr>
          <w:rFonts w:ascii="Arial" w:hAnsi="Arial"/>
          <w:sz w:val="23"/>
          <w:szCs w:val="23"/>
        </w:rPr>
        <w:t> </w:t>
      </w:r>
      <w:r w:rsidRPr="005175DA">
        <w:rPr>
          <w:rFonts w:ascii="Arial" w:hAnsi="Arial"/>
          <w:sz w:val="23"/>
          <w:szCs w:val="23"/>
        </w:rPr>
        <w:tab/>
        <w:t xml:space="preserve">The bond ordinance, the summary terms of which are included herein, was introduced and passed upon first reading at a meeting of the governing body of the Borough of </w:t>
      </w:r>
      <w:r>
        <w:rPr>
          <w:rFonts w:ascii="Arial" w:hAnsi="Arial"/>
          <w:sz w:val="23"/>
          <w:szCs w:val="23"/>
        </w:rPr>
        <w:t>Bloomingdale,</w:t>
      </w:r>
      <w:r w:rsidRPr="005175DA">
        <w:rPr>
          <w:rFonts w:ascii="Arial" w:hAnsi="Arial"/>
          <w:sz w:val="23"/>
          <w:szCs w:val="23"/>
        </w:rPr>
        <w:t xml:space="preserve"> in the County of </w:t>
      </w:r>
      <w:r>
        <w:rPr>
          <w:rFonts w:ascii="Arial" w:hAnsi="Arial"/>
          <w:sz w:val="23"/>
          <w:szCs w:val="23"/>
        </w:rPr>
        <w:t>Passaic</w:t>
      </w:r>
      <w:r w:rsidRPr="005175DA">
        <w:rPr>
          <w:rFonts w:ascii="Arial" w:hAnsi="Arial"/>
          <w:sz w:val="23"/>
          <w:szCs w:val="23"/>
        </w:rPr>
        <w:t>, State of New Jersey, on May 3, 201</w:t>
      </w:r>
      <w:r>
        <w:rPr>
          <w:rFonts w:ascii="Arial" w:hAnsi="Arial"/>
          <w:sz w:val="23"/>
          <w:szCs w:val="23"/>
        </w:rPr>
        <w:t>6</w:t>
      </w:r>
      <w:r w:rsidRPr="005175DA">
        <w:rPr>
          <w:rFonts w:ascii="Arial" w:hAnsi="Arial"/>
          <w:sz w:val="23"/>
          <w:szCs w:val="23"/>
        </w:rPr>
        <w:t>.  It will be further considered for final passage, after public hearing thereon, at a meeting of the governing body to be held at the Municipal Building, 1</w:t>
      </w:r>
      <w:r>
        <w:rPr>
          <w:rFonts w:ascii="Arial" w:hAnsi="Arial"/>
          <w:sz w:val="23"/>
          <w:szCs w:val="23"/>
        </w:rPr>
        <w:t>01 Hamburg Turnpike</w:t>
      </w:r>
      <w:r w:rsidRPr="005175DA">
        <w:rPr>
          <w:rFonts w:ascii="Arial" w:hAnsi="Arial"/>
          <w:sz w:val="23"/>
          <w:szCs w:val="23"/>
        </w:rPr>
        <w:t xml:space="preserve">, </w:t>
      </w:r>
      <w:r>
        <w:rPr>
          <w:rFonts w:ascii="Arial" w:hAnsi="Arial"/>
          <w:sz w:val="23"/>
          <w:szCs w:val="23"/>
        </w:rPr>
        <w:t>Bloomingdale</w:t>
      </w:r>
      <w:r w:rsidRPr="005175DA">
        <w:rPr>
          <w:rFonts w:ascii="Arial" w:hAnsi="Arial"/>
          <w:sz w:val="23"/>
          <w:szCs w:val="23"/>
        </w:rPr>
        <w:t xml:space="preserve">, in said County on </w:t>
      </w:r>
      <w:r>
        <w:rPr>
          <w:rFonts w:ascii="Arial" w:hAnsi="Arial"/>
          <w:sz w:val="23"/>
          <w:szCs w:val="23"/>
        </w:rPr>
        <w:t>June 14</w:t>
      </w:r>
      <w:r w:rsidRPr="005175DA">
        <w:rPr>
          <w:rFonts w:ascii="Arial" w:hAnsi="Arial"/>
          <w:sz w:val="23"/>
          <w:szCs w:val="23"/>
        </w:rPr>
        <w:t>, 201</w:t>
      </w:r>
      <w:r>
        <w:rPr>
          <w:rFonts w:ascii="Arial" w:hAnsi="Arial"/>
          <w:sz w:val="23"/>
          <w:szCs w:val="23"/>
        </w:rPr>
        <w:t>6</w:t>
      </w:r>
      <w:r>
        <w:rPr>
          <w:rFonts w:ascii="Arial" w:hAnsi="Arial"/>
          <w:sz w:val="23"/>
          <w:szCs w:val="23"/>
        </w:rPr>
        <w:t xml:space="preserve"> at 7:00</w:t>
      </w:r>
      <w:bookmarkStart w:id="0" w:name="_GoBack"/>
      <w:bookmarkEnd w:id="0"/>
      <w:r w:rsidRPr="005175DA">
        <w:rPr>
          <w:rFonts w:ascii="Arial" w:hAnsi="Arial"/>
          <w:sz w:val="23"/>
          <w:szCs w:val="23"/>
        </w:rPr>
        <w:t xml:space="preserve">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3D3030" w:rsidRPr="005175DA" w:rsidRDefault="003D3030" w:rsidP="003D3030">
      <w:pPr>
        <w:jc w:val="both"/>
        <w:rPr>
          <w:rFonts w:ascii="Arial" w:hAnsi="Arial"/>
          <w:sz w:val="23"/>
          <w:szCs w:val="23"/>
        </w:rPr>
      </w:pPr>
    </w:p>
    <w:tbl>
      <w:tblPr>
        <w:tblW w:w="9999" w:type="dxa"/>
        <w:jc w:val="center"/>
        <w:tblLayout w:type="fixed"/>
        <w:tblLook w:val="0000" w:firstRow="0" w:lastRow="0" w:firstColumn="0" w:lastColumn="0" w:noHBand="0" w:noVBand="0"/>
      </w:tblPr>
      <w:tblGrid>
        <w:gridCol w:w="1998"/>
        <w:gridCol w:w="8001"/>
      </w:tblGrid>
      <w:tr w:rsidR="003D3030" w:rsidRPr="00985F34" w:rsidTr="00534D3A">
        <w:trPr>
          <w:trHeight w:val="1548"/>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Title:</w:t>
            </w:r>
          </w:p>
        </w:tc>
        <w:tc>
          <w:tcPr>
            <w:tcW w:w="8001" w:type="dxa"/>
          </w:tcPr>
          <w:p w:rsidR="003D3030" w:rsidRPr="00985F34" w:rsidRDefault="003D3030" w:rsidP="00534D3A">
            <w:pPr>
              <w:widowControl/>
              <w:tabs>
                <w:tab w:val="left" w:pos="4608"/>
              </w:tabs>
              <w:suppressAutoHyphens/>
              <w:ind w:left="14"/>
              <w:jc w:val="both"/>
              <w:rPr>
                <w:rFonts w:ascii="Arial" w:hAnsi="Arial"/>
                <w:spacing w:val="-3"/>
                <w:sz w:val="23"/>
                <w:szCs w:val="23"/>
              </w:rPr>
            </w:pPr>
            <w:r w:rsidRPr="00985F34">
              <w:rPr>
                <w:rFonts w:ascii="Arial" w:hAnsi="Arial"/>
                <w:spacing w:val="-3"/>
              </w:rPr>
              <w:t>BOND ORDINANCE PROVIDING VARIOUS 2016 CAPITAL IMPROVEMENTS, BY AND IN THE BOROUGH OF BLOOMINGDALE, IN THE COUNTY OF PASSAIC, STATE OF NEW JERSEY; APPROPRIATING $1,024,850 THEREFOR AND AUTHORIZING THE ISSUANCE OF $975,000 BONDS OR NOTES OF THE BOROUGH TO FINANCE PART OF THE COST THEREOF</w:t>
            </w:r>
          </w:p>
        </w:tc>
      </w:tr>
      <w:tr w:rsidR="003D3030" w:rsidRPr="005175DA" w:rsidTr="00534D3A">
        <w:trPr>
          <w:trHeight w:val="369"/>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Purpose(s):</w:t>
            </w:r>
          </w:p>
        </w:tc>
        <w:tc>
          <w:tcPr>
            <w:tcW w:w="8001" w:type="dxa"/>
          </w:tcPr>
          <w:p w:rsidR="003D3030" w:rsidRPr="005175DA" w:rsidRDefault="003D3030" w:rsidP="00534D3A">
            <w:pPr>
              <w:jc w:val="both"/>
              <w:rPr>
                <w:rFonts w:ascii="Arial" w:hAnsi="Arial"/>
                <w:spacing w:val="-3"/>
                <w:sz w:val="23"/>
                <w:szCs w:val="23"/>
              </w:rPr>
            </w:pPr>
            <w:r w:rsidRPr="005175DA">
              <w:rPr>
                <w:rFonts w:ascii="Arial" w:hAnsi="Arial"/>
                <w:spacing w:val="-3"/>
                <w:sz w:val="23"/>
                <w:szCs w:val="23"/>
              </w:rPr>
              <w:t>Various 201</w:t>
            </w:r>
            <w:r>
              <w:rPr>
                <w:rFonts w:ascii="Arial" w:hAnsi="Arial"/>
                <w:spacing w:val="-3"/>
                <w:sz w:val="23"/>
                <w:szCs w:val="23"/>
              </w:rPr>
              <w:t>6</w:t>
            </w:r>
            <w:r w:rsidRPr="005175DA">
              <w:rPr>
                <w:rFonts w:ascii="Arial" w:hAnsi="Arial"/>
                <w:spacing w:val="-3"/>
                <w:sz w:val="23"/>
                <w:szCs w:val="23"/>
              </w:rPr>
              <w:t xml:space="preserve"> capital improvements, including but not limited to, </w:t>
            </w:r>
            <w:r>
              <w:rPr>
                <w:rFonts w:ascii="Arial" w:hAnsi="Arial"/>
                <w:spacing w:val="-3"/>
                <w:sz w:val="23"/>
                <w:szCs w:val="23"/>
              </w:rPr>
              <w:t>various roadway improvements, purchase of various equipment, purchase of generators, oil separator, relocation of underground gas lines, dredging of the brook on Van Dam, installation of curbs on Wallace Avenue and purchase of trucks for the Department of Public Works and Office of Emergency Management</w:t>
            </w:r>
          </w:p>
          <w:p w:rsidR="003D3030" w:rsidRPr="005175DA" w:rsidRDefault="003D3030" w:rsidP="00534D3A">
            <w:pPr>
              <w:jc w:val="both"/>
              <w:rPr>
                <w:rFonts w:ascii="Arial" w:hAnsi="Arial"/>
                <w:sz w:val="23"/>
                <w:szCs w:val="23"/>
              </w:rPr>
            </w:pPr>
          </w:p>
        </w:tc>
      </w:tr>
      <w:tr w:rsidR="003D3030" w:rsidRPr="005175DA" w:rsidTr="00534D3A">
        <w:trPr>
          <w:trHeight w:val="360"/>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Appropriation:</w:t>
            </w:r>
          </w:p>
        </w:tc>
        <w:tc>
          <w:tcPr>
            <w:tcW w:w="8001" w:type="dxa"/>
          </w:tcPr>
          <w:p w:rsidR="003D3030" w:rsidRPr="005175DA" w:rsidRDefault="003D3030" w:rsidP="00534D3A">
            <w:pPr>
              <w:rPr>
                <w:rFonts w:ascii="Arial" w:hAnsi="Arial"/>
                <w:sz w:val="23"/>
                <w:szCs w:val="23"/>
              </w:rPr>
            </w:pPr>
            <w:r w:rsidRPr="005175DA">
              <w:rPr>
                <w:rFonts w:ascii="Arial" w:hAnsi="Arial"/>
                <w:sz w:val="23"/>
                <w:szCs w:val="23"/>
              </w:rPr>
              <w:t>$</w:t>
            </w:r>
            <w:r>
              <w:rPr>
                <w:rFonts w:ascii="Arial" w:hAnsi="Arial"/>
                <w:sz w:val="23"/>
                <w:szCs w:val="23"/>
              </w:rPr>
              <w:t>1,024,850</w:t>
            </w:r>
          </w:p>
          <w:p w:rsidR="003D3030" w:rsidRPr="005175DA" w:rsidRDefault="003D3030" w:rsidP="00534D3A">
            <w:pPr>
              <w:rPr>
                <w:rFonts w:ascii="Arial" w:hAnsi="Arial"/>
                <w:sz w:val="23"/>
                <w:szCs w:val="23"/>
              </w:rPr>
            </w:pPr>
          </w:p>
        </w:tc>
      </w:tr>
      <w:tr w:rsidR="003D3030" w:rsidRPr="005175DA" w:rsidTr="00534D3A">
        <w:trPr>
          <w:trHeight w:val="432"/>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Bonds/Notes Authorized:</w:t>
            </w:r>
          </w:p>
        </w:tc>
        <w:tc>
          <w:tcPr>
            <w:tcW w:w="8001" w:type="dxa"/>
          </w:tcPr>
          <w:p w:rsidR="003D3030" w:rsidRPr="005175DA" w:rsidRDefault="003D3030" w:rsidP="00534D3A">
            <w:pPr>
              <w:rPr>
                <w:rFonts w:ascii="Arial" w:hAnsi="Arial"/>
                <w:sz w:val="23"/>
                <w:szCs w:val="23"/>
              </w:rPr>
            </w:pPr>
          </w:p>
          <w:p w:rsidR="003D3030" w:rsidRPr="005175DA" w:rsidRDefault="003D3030" w:rsidP="00534D3A">
            <w:pPr>
              <w:rPr>
                <w:rFonts w:ascii="Arial" w:hAnsi="Arial"/>
                <w:sz w:val="23"/>
                <w:szCs w:val="23"/>
              </w:rPr>
            </w:pPr>
            <w:r w:rsidRPr="005175DA">
              <w:rPr>
                <w:rFonts w:ascii="Arial" w:hAnsi="Arial"/>
                <w:sz w:val="23"/>
                <w:szCs w:val="23"/>
              </w:rPr>
              <w:t>$</w:t>
            </w:r>
            <w:r>
              <w:rPr>
                <w:rFonts w:ascii="Arial" w:hAnsi="Arial"/>
                <w:sz w:val="23"/>
                <w:szCs w:val="23"/>
              </w:rPr>
              <w:t>975,0</w:t>
            </w:r>
            <w:r w:rsidRPr="005175DA">
              <w:rPr>
                <w:rFonts w:ascii="Arial" w:hAnsi="Arial"/>
                <w:sz w:val="23"/>
                <w:szCs w:val="23"/>
              </w:rPr>
              <w:t>00</w:t>
            </w:r>
          </w:p>
        </w:tc>
      </w:tr>
      <w:tr w:rsidR="003D3030" w:rsidRPr="005175DA" w:rsidTr="00534D3A">
        <w:trPr>
          <w:trHeight w:val="639"/>
          <w:jc w:val="center"/>
        </w:trPr>
        <w:tc>
          <w:tcPr>
            <w:tcW w:w="1998" w:type="dxa"/>
          </w:tcPr>
          <w:p w:rsidR="003D3030" w:rsidRDefault="003D3030" w:rsidP="00534D3A">
            <w:pPr>
              <w:rPr>
                <w:rFonts w:ascii="Arial" w:hAnsi="Arial"/>
                <w:b/>
                <w:sz w:val="23"/>
                <w:szCs w:val="23"/>
              </w:rPr>
            </w:pPr>
          </w:p>
          <w:p w:rsidR="003D3030" w:rsidRPr="005175DA" w:rsidRDefault="003D3030" w:rsidP="00534D3A">
            <w:pPr>
              <w:rPr>
                <w:rFonts w:ascii="Arial" w:hAnsi="Arial"/>
                <w:b/>
                <w:sz w:val="23"/>
                <w:szCs w:val="23"/>
              </w:rPr>
            </w:pPr>
            <w:r w:rsidRPr="005175DA">
              <w:rPr>
                <w:rFonts w:ascii="Arial" w:hAnsi="Arial"/>
                <w:b/>
                <w:sz w:val="23"/>
                <w:szCs w:val="23"/>
              </w:rPr>
              <w:t>Down Payment:</w:t>
            </w:r>
          </w:p>
        </w:tc>
        <w:tc>
          <w:tcPr>
            <w:tcW w:w="8001" w:type="dxa"/>
          </w:tcPr>
          <w:p w:rsidR="003D3030" w:rsidRPr="005175DA" w:rsidRDefault="003D3030" w:rsidP="00534D3A">
            <w:pPr>
              <w:rPr>
                <w:rFonts w:ascii="Arial" w:hAnsi="Arial"/>
                <w:sz w:val="23"/>
                <w:szCs w:val="23"/>
              </w:rPr>
            </w:pPr>
          </w:p>
          <w:p w:rsidR="003D3030" w:rsidRPr="005175DA" w:rsidRDefault="003D3030" w:rsidP="00534D3A">
            <w:pPr>
              <w:rPr>
                <w:rFonts w:ascii="Arial" w:hAnsi="Arial"/>
                <w:sz w:val="23"/>
                <w:szCs w:val="23"/>
              </w:rPr>
            </w:pPr>
            <w:r w:rsidRPr="005175DA">
              <w:rPr>
                <w:rFonts w:ascii="Arial" w:hAnsi="Arial"/>
                <w:sz w:val="23"/>
                <w:szCs w:val="23"/>
              </w:rPr>
              <w:t>$</w:t>
            </w:r>
            <w:r>
              <w:rPr>
                <w:rFonts w:ascii="Arial" w:hAnsi="Arial"/>
                <w:sz w:val="23"/>
                <w:szCs w:val="23"/>
              </w:rPr>
              <w:t>49,850</w:t>
            </w:r>
          </w:p>
          <w:p w:rsidR="003D3030" w:rsidRPr="005175DA" w:rsidRDefault="003D3030" w:rsidP="00534D3A">
            <w:pPr>
              <w:rPr>
                <w:rFonts w:ascii="Arial" w:hAnsi="Arial"/>
                <w:sz w:val="23"/>
                <w:szCs w:val="23"/>
              </w:rPr>
            </w:pPr>
          </w:p>
        </w:tc>
      </w:tr>
      <w:tr w:rsidR="003D3030" w:rsidRPr="005175DA" w:rsidTr="00534D3A">
        <w:trPr>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Grants Appropriated:</w:t>
            </w:r>
          </w:p>
          <w:p w:rsidR="003D3030" w:rsidRPr="005175DA" w:rsidRDefault="003D3030" w:rsidP="00534D3A">
            <w:pPr>
              <w:rPr>
                <w:rFonts w:ascii="Arial" w:hAnsi="Arial"/>
                <w:b/>
                <w:sz w:val="23"/>
                <w:szCs w:val="23"/>
              </w:rPr>
            </w:pPr>
          </w:p>
        </w:tc>
        <w:tc>
          <w:tcPr>
            <w:tcW w:w="8001" w:type="dxa"/>
          </w:tcPr>
          <w:p w:rsidR="003D3030" w:rsidRPr="005175DA" w:rsidRDefault="003D3030" w:rsidP="00534D3A">
            <w:pPr>
              <w:rPr>
                <w:rFonts w:ascii="Arial" w:hAnsi="Arial"/>
                <w:sz w:val="23"/>
                <w:szCs w:val="23"/>
              </w:rPr>
            </w:pPr>
          </w:p>
          <w:p w:rsidR="003D3030" w:rsidRPr="005175DA" w:rsidRDefault="003D3030" w:rsidP="00534D3A">
            <w:pPr>
              <w:rPr>
                <w:rFonts w:ascii="Arial" w:hAnsi="Arial"/>
                <w:sz w:val="23"/>
                <w:szCs w:val="23"/>
              </w:rPr>
            </w:pPr>
            <w:r w:rsidRPr="005175DA">
              <w:rPr>
                <w:rFonts w:ascii="Arial" w:hAnsi="Arial"/>
                <w:sz w:val="23"/>
                <w:szCs w:val="23"/>
              </w:rPr>
              <w:t>$</w:t>
            </w:r>
            <w:r>
              <w:rPr>
                <w:rFonts w:ascii="Arial" w:hAnsi="Arial"/>
                <w:sz w:val="23"/>
                <w:szCs w:val="23"/>
              </w:rPr>
              <w:t>99</w:t>
            </w:r>
            <w:r w:rsidRPr="005175DA">
              <w:rPr>
                <w:rFonts w:ascii="Arial" w:hAnsi="Arial"/>
                <w:sz w:val="23"/>
                <w:szCs w:val="23"/>
              </w:rPr>
              <w:t xml:space="preserve">,000 expected to be received by the </w:t>
            </w:r>
            <w:r>
              <w:rPr>
                <w:rFonts w:ascii="Arial" w:hAnsi="Arial"/>
                <w:sz w:val="23"/>
                <w:szCs w:val="23"/>
              </w:rPr>
              <w:t>County of Passaic Open Space and Farmland Preservation Fund Program and $140,000 expected to be received from the Federal Emergency Management  Agency</w:t>
            </w:r>
          </w:p>
          <w:p w:rsidR="003D3030" w:rsidRPr="005175DA" w:rsidRDefault="003D3030" w:rsidP="00534D3A">
            <w:pPr>
              <w:rPr>
                <w:rFonts w:ascii="Arial" w:hAnsi="Arial"/>
                <w:sz w:val="23"/>
                <w:szCs w:val="23"/>
              </w:rPr>
            </w:pPr>
          </w:p>
        </w:tc>
      </w:tr>
      <w:tr w:rsidR="003D3030" w:rsidRPr="005175DA" w:rsidTr="00534D3A">
        <w:trPr>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Section 20 Costs:</w:t>
            </w:r>
          </w:p>
          <w:p w:rsidR="003D3030" w:rsidRPr="005175DA" w:rsidRDefault="003D3030" w:rsidP="00534D3A">
            <w:pPr>
              <w:rPr>
                <w:rFonts w:ascii="Arial" w:hAnsi="Arial"/>
                <w:b/>
                <w:sz w:val="23"/>
                <w:szCs w:val="23"/>
              </w:rPr>
            </w:pPr>
          </w:p>
        </w:tc>
        <w:tc>
          <w:tcPr>
            <w:tcW w:w="8001" w:type="dxa"/>
          </w:tcPr>
          <w:p w:rsidR="003D3030" w:rsidRPr="005175DA" w:rsidRDefault="003D3030" w:rsidP="00534D3A">
            <w:pPr>
              <w:rPr>
                <w:rFonts w:ascii="Arial" w:hAnsi="Arial"/>
                <w:sz w:val="23"/>
                <w:szCs w:val="23"/>
              </w:rPr>
            </w:pPr>
            <w:r w:rsidRPr="005175DA">
              <w:rPr>
                <w:rFonts w:ascii="Arial" w:hAnsi="Arial"/>
                <w:sz w:val="23"/>
                <w:szCs w:val="23"/>
              </w:rPr>
              <w:br/>
              <w:t>$</w:t>
            </w:r>
            <w:r>
              <w:rPr>
                <w:rFonts w:ascii="Arial" w:hAnsi="Arial"/>
                <w:sz w:val="23"/>
                <w:szCs w:val="23"/>
              </w:rPr>
              <w:t>74</w:t>
            </w:r>
            <w:r w:rsidRPr="005175DA">
              <w:rPr>
                <w:rFonts w:ascii="Arial" w:hAnsi="Arial"/>
                <w:sz w:val="23"/>
                <w:szCs w:val="23"/>
              </w:rPr>
              <w:t>,000</w:t>
            </w:r>
          </w:p>
        </w:tc>
      </w:tr>
      <w:tr w:rsidR="003D3030" w:rsidRPr="005175DA" w:rsidTr="00534D3A">
        <w:trPr>
          <w:jc w:val="center"/>
        </w:trPr>
        <w:tc>
          <w:tcPr>
            <w:tcW w:w="1998" w:type="dxa"/>
          </w:tcPr>
          <w:p w:rsidR="003D3030" w:rsidRPr="005175DA" w:rsidRDefault="003D3030" w:rsidP="00534D3A">
            <w:pPr>
              <w:rPr>
                <w:rFonts w:ascii="Arial" w:hAnsi="Arial"/>
                <w:b/>
                <w:sz w:val="23"/>
                <w:szCs w:val="23"/>
              </w:rPr>
            </w:pPr>
            <w:r w:rsidRPr="005175DA">
              <w:rPr>
                <w:rFonts w:ascii="Arial" w:hAnsi="Arial"/>
                <w:b/>
                <w:sz w:val="23"/>
                <w:szCs w:val="23"/>
              </w:rPr>
              <w:t>Useful Life:</w:t>
            </w:r>
          </w:p>
        </w:tc>
        <w:tc>
          <w:tcPr>
            <w:tcW w:w="8001" w:type="dxa"/>
          </w:tcPr>
          <w:p w:rsidR="003D3030" w:rsidRPr="005175DA" w:rsidRDefault="003D3030" w:rsidP="00534D3A">
            <w:pPr>
              <w:rPr>
                <w:rFonts w:ascii="Arial" w:hAnsi="Arial"/>
                <w:sz w:val="23"/>
                <w:szCs w:val="23"/>
              </w:rPr>
            </w:pPr>
            <w:r>
              <w:rPr>
                <w:rFonts w:ascii="Arial" w:hAnsi="Arial"/>
                <w:sz w:val="23"/>
                <w:szCs w:val="23"/>
              </w:rPr>
              <w:t>13.99</w:t>
            </w:r>
            <w:r w:rsidRPr="005175DA">
              <w:rPr>
                <w:rFonts w:ascii="Arial" w:hAnsi="Arial"/>
                <w:sz w:val="23"/>
                <w:szCs w:val="23"/>
              </w:rPr>
              <w:t xml:space="preserve"> years </w:t>
            </w:r>
          </w:p>
        </w:tc>
      </w:tr>
    </w:tbl>
    <w:p w:rsidR="003D3030" w:rsidRPr="005175DA" w:rsidRDefault="003D3030" w:rsidP="003D3030">
      <w:pPr>
        <w:rPr>
          <w:rFonts w:ascii="Arial" w:hAnsi="Arial"/>
          <w:sz w:val="23"/>
          <w:szCs w:val="23"/>
        </w:rPr>
      </w:pPr>
      <w:r w:rsidRPr="005175DA">
        <w:rPr>
          <w:rFonts w:ascii="Arial" w:hAnsi="Arial"/>
          <w:sz w:val="23"/>
          <w:szCs w:val="23"/>
        </w:rPr>
        <w:t> </w:t>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p>
    <w:p w:rsidR="003D3030" w:rsidRPr="005175DA" w:rsidRDefault="003D3030" w:rsidP="003D3030">
      <w:pPr>
        <w:rPr>
          <w:rFonts w:ascii="Arial" w:hAnsi="Arial"/>
          <w:sz w:val="23"/>
          <w:szCs w:val="23"/>
        </w:rPr>
      </w:pP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t>__________________________</w:t>
      </w:r>
    </w:p>
    <w:p w:rsidR="003D3030" w:rsidRPr="009C6949" w:rsidRDefault="003D3030" w:rsidP="003D3030">
      <w:pPr>
        <w:rPr>
          <w:rFonts w:ascii="Arial" w:hAnsi="Arial"/>
          <w:b/>
          <w:sz w:val="23"/>
          <w:szCs w:val="23"/>
        </w:rPr>
      </w:pP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9C6949">
        <w:rPr>
          <w:rFonts w:ascii="Arial" w:hAnsi="Arial"/>
          <w:b/>
          <w:sz w:val="23"/>
          <w:szCs w:val="23"/>
        </w:rPr>
        <w:t>JANE MCCARTHY,</w:t>
      </w:r>
    </w:p>
    <w:p w:rsidR="003D3030" w:rsidRPr="005175DA" w:rsidRDefault="003D3030" w:rsidP="003D3030">
      <w:pPr>
        <w:rPr>
          <w:rFonts w:ascii="Arial" w:hAnsi="Arial"/>
          <w:b/>
          <w:sz w:val="23"/>
          <w:szCs w:val="23"/>
        </w:rPr>
      </w:pP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sz w:val="23"/>
          <w:szCs w:val="23"/>
        </w:rPr>
        <w:tab/>
      </w:r>
      <w:r w:rsidRPr="005175DA">
        <w:rPr>
          <w:rFonts w:ascii="Arial" w:hAnsi="Arial"/>
          <w:b/>
          <w:sz w:val="23"/>
          <w:szCs w:val="23"/>
        </w:rPr>
        <w:t xml:space="preserve">Clerk of the Borough of </w:t>
      </w:r>
      <w:r>
        <w:rPr>
          <w:rFonts w:ascii="Arial" w:hAnsi="Arial"/>
          <w:b/>
          <w:sz w:val="23"/>
          <w:szCs w:val="23"/>
        </w:rPr>
        <w:t>Bloomingdale</w:t>
      </w:r>
    </w:p>
    <w:p w:rsidR="001C1D46" w:rsidRDefault="003D3030" w:rsidP="003D3030">
      <w:r>
        <w:rPr>
          <w:rFonts w:ascii="Arial" w:hAnsi="Arial"/>
          <w:b/>
        </w:rPr>
        <w:br w:type="page"/>
      </w:r>
    </w:p>
    <w:sectPr w:rsidR="001C1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30"/>
    <w:rsid w:val="001C1D46"/>
    <w:rsid w:val="003D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EEF27-D3A8-4D03-B8E2-CFFC3142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030"/>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2016-05-04T14:17:00Z</dcterms:created>
  <dcterms:modified xsi:type="dcterms:W3CDTF">2016-05-04T14:19:00Z</dcterms:modified>
</cp:coreProperties>
</file>