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B45" w:rsidRPr="008A08BC" w:rsidRDefault="004E2613" w:rsidP="00CB1B45">
      <w:pPr>
        <w:spacing w:after="0" w:line="240" w:lineRule="auto"/>
        <w:jc w:val="center"/>
        <w:rPr>
          <w:rFonts w:ascii="Arial" w:hAnsi="Arial" w:cs="Arial"/>
          <w:b/>
        </w:rPr>
      </w:pPr>
      <w:bookmarkStart w:id="0" w:name="_GoBack"/>
      <w:bookmarkEnd w:id="0"/>
      <w:r>
        <w:rPr>
          <w:rFonts w:ascii="Arial" w:hAnsi="Arial" w:cs="Arial"/>
          <w:b/>
        </w:rPr>
        <w:t xml:space="preserve">ORDINANCE </w:t>
      </w:r>
      <w:r w:rsidR="00FD1F95">
        <w:rPr>
          <w:rFonts w:ascii="Arial" w:hAnsi="Arial" w:cs="Arial"/>
          <w:b/>
        </w:rPr>
        <w:t>5</w:t>
      </w:r>
      <w:r w:rsidR="0044553C">
        <w:rPr>
          <w:rFonts w:ascii="Arial" w:hAnsi="Arial" w:cs="Arial"/>
          <w:b/>
        </w:rPr>
        <w:t>-2016</w:t>
      </w:r>
    </w:p>
    <w:p w:rsidR="00CB1B45" w:rsidRPr="008A08BC" w:rsidRDefault="00CB1B45" w:rsidP="00CB1B45">
      <w:pPr>
        <w:spacing w:after="0" w:line="240" w:lineRule="auto"/>
        <w:jc w:val="center"/>
        <w:rPr>
          <w:rFonts w:ascii="Arial" w:hAnsi="Arial" w:cs="Arial"/>
          <w:b/>
        </w:rPr>
      </w:pPr>
      <w:r w:rsidRPr="008A08BC">
        <w:rPr>
          <w:rFonts w:ascii="Arial" w:hAnsi="Arial" w:cs="Arial"/>
          <w:b/>
        </w:rPr>
        <w:t>OF THE GOVERNING BODY</w:t>
      </w:r>
    </w:p>
    <w:p w:rsidR="00CB1B45" w:rsidRPr="008A08BC" w:rsidRDefault="00CB1B45" w:rsidP="00CB1B45">
      <w:pPr>
        <w:spacing w:after="0" w:line="240" w:lineRule="auto"/>
        <w:jc w:val="center"/>
        <w:rPr>
          <w:rFonts w:ascii="Arial" w:hAnsi="Arial" w:cs="Arial"/>
          <w:b/>
        </w:rPr>
      </w:pPr>
      <w:r w:rsidRPr="008A08BC">
        <w:rPr>
          <w:rFonts w:ascii="Arial" w:hAnsi="Arial" w:cs="Arial"/>
          <w:b/>
        </w:rPr>
        <w:t>OF THE BOROUGH OF BLOOMINGALE</w:t>
      </w:r>
    </w:p>
    <w:p w:rsidR="00CB1B45" w:rsidRPr="008A08BC" w:rsidRDefault="00CB1B45" w:rsidP="00CB1B45">
      <w:pPr>
        <w:spacing w:after="0" w:line="240" w:lineRule="auto"/>
        <w:rPr>
          <w:rFonts w:ascii="Arial" w:hAnsi="Arial" w:cs="Arial"/>
          <w:b/>
        </w:rPr>
      </w:pPr>
    </w:p>
    <w:p w:rsidR="00CB1B45" w:rsidRPr="008A08BC" w:rsidRDefault="00CB1B45" w:rsidP="00CD1726">
      <w:pPr>
        <w:spacing w:after="0" w:line="240" w:lineRule="auto"/>
        <w:ind w:left="720" w:right="720"/>
        <w:jc w:val="center"/>
        <w:rPr>
          <w:rFonts w:ascii="Arial" w:hAnsi="Arial" w:cs="Arial"/>
          <w:b/>
          <w:caps/>
          <w:color w:val="000002"/>
        </w:rPr>
      </w:pPr>
      <w:r w:rsidRPr="008A08BC">
        <w:rPr>
          <w:rFonts w:ascii="Arial" w:hAnsi="Arial" w:cs="Arial"/>
          <w:b/>
          <w:caps/>
          <w:color w:val="000002"/>
        </w:rPr>
        <w:t>AN ORDINANCE OF THE BOROUGH OF BLOOMINGDALE, IN THE COUNTY OF PASSAIC AND STATE OF NEW JERSEY,</w:t>
      </w:r>
      <w:r w:rsidR="00CD1726" w:rsidRPr="008A08BC">
        <w:rPr>
          <w:rFonts w:ascii="Arial" w:hAnsi="Arial" w:cs="Arial"/>
          <w:b/>
          <w:caps/>
          <w:color w:val="000002"/>
        </w:rPr>
        <w:t xml:space="preserve"> </w:t>
      </w:r>
      <w:r w:rsidR="004E2613">
        <w:rPr>
          <w:rFonts w:ascii="Arial" w:hAnsi="Arial" w:cs="Arial"/>
          <w:b/>
          <w:caps/>
          <w:color w:val="000002"/>
        </w:rPr>
        <w:t xml:space="preserve">amending </w:t>
      </w:r>
      <w:r w:rsidR="009B350F" w:rsidRPr="009B350F">
        <w:rPr>
          <w:rFonts w:ascii="Arial" w:hAnsi="Arial" w:cs="Arial"/>
          <w:b/>
          <w:caps/>
          <w:color w:val="000002"/>
        </w:rPr>
        <w:t xml:space="preserve">Chapter </w:t>
      </w:r>
      <w:r w:rsidR="00BE064F">
        <w:rPr>
          <w:rFonts w:ascii="Arial" w:hAnsi="Arial" w:cs="Arial"/>
          <w:b/>
          <w:caps/>
          <w:color w:val="000002"/>
        </w:rPr>
        <w:t>92</w:t>
      </w:r>
      <w:r w:rsidR="009B350F" w:rsidRPr="009B350F">
        <w:rPr>
          <w:rFonts w:ascii="Arial" w:hAnsi="Arial" w:cs="Arial"/>
          <w:b/>
          <w:caps/>
          <w:color w:val="000002"/>
        </w:rPr>
        <w:t>, “</w:t>
      </w:r>
      <w:r w:rsidR="00BE064F">
        <w:rPr>
          <w:rFonts w:ascii="Arial" w:hAnsi="Arial" w:cs="Arial"/>
          <w:b/>
          <w:caps/>
          <w:color w:val="000002"/>
        </w:rPr>
        <w:t>ZONING</w:t>
      </w:r>
      <w:r w:rsidR="009B350F" w:rsidRPr="009B350F">
        <w:rPr>
          <w:rFonts w:ascii="Arial" w:hAnsi="Arial" w:cs="Arial"/>
          <w:b/>
          <w:caps/>
          <w:color w:val="000002"/>
        </w:rPr>
        <w:t xml:space="preserve">,” </w:t>
      </w:r>
      <w:r w:rsidR="00BE064F">
        <w:rPr>
          <w:rFonts w:ascii="Arial" w:hAnsi="Arial" w:cs="Arial"/>
          <w:b/>
          <w:caps/>
          <w:color w:val="000002"/>
        </w:rPr>
        <w:t xml:space="preserve">article XII, “Schedule of regulations,” section 92-55, “B-1 general business zone,” </w:t>
      </w:r>
      <w:r w:rsidR="008F1BAD">
        <w:rPr>
          <w:rFonts w:ascii="Arial" w:hAnsi="Arial" w:cs="Arial"/>
          <w:b/>
          <w:caps/>
          <w:color w:val="000002"/>
        </w:rPr>
        <w:t>of the code of the borough of bloomingdale</w:t>
      </w:r>
      <w:r w:rsidR="00895CA5">
        <w:rPr>
          <w:rFonts w:ascii="Arial" w:hAnsi="Arial" w:cs="Arial"/>
          <w:b/>
          <w:caps/>
          <w:color w:val="000002"/>
        </w:rPr>
        <w:t xml:space="preserve"> </w:t>
      </w:r>
    </w:p>
    <w:p w:rsidR="002077F3" w:rsidRPr="002077F3" w:rsidRDefault="002077F3" w:rsidP="00D008DB">
      <w:pPr>
        <w:spacing w:after="0" w:line="240" w:lineRule="auto"/>
        <w:jc w:val="both"/>
        <w:rPr>
          <w:rFonts w:ascii="Arial" w:hAnsi="Arial" w:cs="Arial"/>
        </w:rPr>
      </w:pPr>
    </w:p>
    <w:p w:rsidR="00CB1B45" w:rsidRDefault="00CB1B45" w:rsidP="00CB15B1">
      <w:pPr>
        <w:spacing w:after="0" w:line="240" w:lineRule="auto"/>
        <w:ind w:firstLine="720"/>
        <w:jc w:val="both"/>
        <w:rPr>
          <w:rFonts w:ascii="Arial" w:hAnsi="Arial" w:cs="Arial"/>
        </w:rPr>
      </w:pPr>
      <w:r w:rsidRPr="00CB1B45">
        <w:rPr>
          <w:rFonts w:ascii="Arial" w:hAnsi="Arial" w:cs="Arial"/>
          <w:b/>
        </w:rPr>
        <w:t>BE IT ORDAINED</w:t>
      </w:r>
      <w:r w:rsidRPr="00CB1B45">
        <w:rPr>
          <w:rFonts w:ascii="Arial" w:hAnsi="Arial" w:cs="Arial"/>
        </w:rPr>
        <w:t>, by the Mayor and Borough Council of the Borough of Bloomingdale, in the County of Passaic and State of New Jersey, as follows:</w:t>
      </w:r>
    </w:p>
    <w:p w:rsidR="00A84BBF" w:rsidRDefault="00A84BBF" w:rsidP="00814CE2">
      <w:pPr>
        <w:spacing w:after="0" w:line="240" w:lineRule="auto"/>
        <w:jc w:val="both"/>
        <w:rPr>
          <w:rFonts w:ascii="Arial" w:hAnsi="Arial" w:cs="Arial"/>
          <w:b/>
        </w:rPr>
      </w:pPr>
    </w:p>
    <w:p w:rsidR="008F1BAD" w:rsidRDefault="008F1BAD" w:rsidP="008F1BAD">
      <w:pPr>
        <w:spacing w:after="0" w:line="240" w:lineRule="auto"/>
        <w:ind w:firstLine="720"/>
        <w:jc w:val="both"/>
        <w:rPr>
          <w:rFonts w:ascii="Arial" w:hAnsi="Arial" w:cs="Arial"/>
        </w:rPr>
      </w:pPr>
      <w:r>
        <w:rPr>
          <w:rFonts w:ascii="Arial" w:hAnsi="Arial" w:cs="Arial"/>
          <w:b/>
        </w:rPr>
        <w:t>SECTION 1</w:t>
      </w:r>
      <w:r w:rsidRPr="00CB1B45">
        <w:rPr>
          <w:rFonts w:ascii="Arial" w:hAnsi="Arial" w:cs="Arial"/>
        </w:rPr>
        <w:t>.</w:t>
      </w:r>
      <w:r>
        <w:rPr>
          <w:rFonts w:ascii="Arial" w:hAnsi="Arial" w:cs="Arial"/>
        </w:rPr>
        <w:t xml:space="preserve"> </w:t>
      </w:r>
      <w:r w:rsidRPr="00CB1B45">
        <w:rPr>
          <w:rFonts w:ascii="Arial" w:hAnsi="Arial" w:cs="Arial"/>
        </w:rPr>
        <w:tab/>
      </w:r>
      <w:r w:rsidRPr="00CD1726">
        <w:rPr>
          <w:rFonts w:ascii="Arial" w:hAnsi="Arial" w:cs="Arial"/>
        </w:rPr>
        <w:t>C</w:t>
      </w:r>
      <w:r>
        <w:rPr>
          <w:rFonts w:ascii="Arial" w:hAnsi="Arial" w:cs="Arial"/>
        </w:rPr>
        <w:t>hapter</w:t>
      </w:r>
      <w:r w:rsidRPr="00CD1726">
        <w:rPr>
          <w:rFonts w:ascii="Arial" w:hAnsi="Arial" w:cs="Arial"/>
        </w:rPr>
        <w:t xml:space="preserve"> </w:t>
      </w:r>
      <w:r w:rsidR="00BE064F">
        <w:rPr>
          <w:rFonts w:ascii="Arial" w:hAnsi="Arial" w:cs="Arial"/>
        </w:rPr>
        <w:t>92</w:t>
      </w:r>
      <w:r w:rsidRPr="007C31C1">
        <w:rPr>
          <w:rFonts w:ascii="Arial" w:hAnsi="Arial" w:cs="Arial"/>
        </w:rPr>
        <w:t>, “</w:t>
      </w:r>
      <w:r w:rsidR="00BE064F">
        <w:rPr>
          <w:rFonts w:ascii="Arial" w:hAnsi="Arial" w:cs="Arial"/>
        </w:rPr>
        <w:t>Zoning</w:t>
      </w:r>
      <w:r>
        <w:rPr>
          <w:rFonts w:ascii="Arial" w:hAnsi="Arial" w:cs="Arial"/>
        </w:rPr>
        <w:t xml:space="preserve">,” Article </w:t>
      </w:r>
      <w:r w:rsidR="00BE064F">
        <w:rPr>
          <w:rFonts w:ascii="Arial" w:hAnsi="Arial" w:cs="Arial"/>
        </w:rPr>
        <w:t>X</w:t>
      </w:r>
      <w:r>
        <w:rPr>
          <w:rFonts w:ascii="Arial" w:hAnsi="Arial" w:cs="Arial"/>
        </w:rPr>
        <w:t>II, “</w:t>
      </w:r>
      <w:r w:rsidR="00BE064F">
        <w:rPr>
          <w:rFonts w:ascii="Arial" w:hAnsi="Arial" w:cs="Arial"/>
        </w:rPr>
        <w:t>Schedule of Regulations</w:t>
      </w:r>
      <w:r>
        <w:rPr>
          <w:rFonts w:ascii="Arial" w:hAnsi="Arial" w:cs="Arial"/>
        </w:rPr>
        <w:t>,” Section</w:t>
      </w:r>
      <w:r w:rsidRPr="007C31C1">
        <w:rPr>
          <w:rFonts w:ascii="Arial" w:hAnsi="Arial" w:cs="Arial"/>
        </w:rPr>
        <w:t xml:space="preserve"> </w:t>
      </w:r>
      <w:r w:rsidR="00BE064F">
        <w:rPr>
          <w:rFonts w:ascii="Arial" w:hAnsi="Arial" w:cs="Arial"/>
        </w:rPr>
        <w:t>92</w:t>
      </w:r>
      <w:r w:rsidR="00895CA5">
        <w:rPr>
          <w:rFonts w:ascii="Arial" w:hAnsi="Arial" w:cs="Arial"/>
        </w:rPr>
        <w:t>-</w:t>
      </w:r>
      <w:r w:rsidR="00BE064F">
        <w:rPr>
          <w:rFonts w:ascii="Arial" w:hAnsi="Arial" w:cs="Arial"/>
        </w:rPr>
        <w:t>55</w:t>
      </w:r>
      <w:r>
        <w:rPr>
          <w:rFonts w:ascii="Arial" w:hAnsi="Arial" w:cs="Arial"/>
        </w:rPr>
        <w:t>, “</w:t>
      </w:r>
      <w:r w:rsidR="00BE064F">
        <w:rPr>
          <w:rFonts w:ascii="Arial" w:hAnsi="Arial" w:cs="Arial"/>
        </w:rPr>
        <w:t>B-1 General Business Zone</w:t>
      </w:r>
      <w:r w:rsidR="00895CA5">
        <w:rPr>
          <w:rFonts w:ascii="Arial" w:hAnsi="Arial" w:cs="Arial"/>
        </w:rPr>
        <w:t>,</w:t>
      </w:r>
      <w:r>
        <w:rPr>
          <w:rFonts w:ascii="Arial" w:hAnsi="Arial" w:cs="Arial"/>
        </w:rPr>
        <w:t xml:space="preserve">” of the Code of the Borough of Bloomingdale is hereby amended to read </w:t>
      </w:r>
      <w:r w:rsidR="00BE064F">
        <w:rPr>
          <w:rFonts w:ascii="Arial" w:hAnsi="Arial" w:cs="Arial"/>
        </w:rPr>
        <w:t xml:space="preserve">in its entirety </w:t>
      </w:r>
      <w:r>
        <w:rPr>
          <w:rFonts w:ascii="Arial" w:hAnsi="Arial" w:cs="Arial"/>
        </w:rPr>
        <w:t>as follows:</w:t>
      </w:r>
    </w:p>
    <w:p w:rsidR="002C7FBA" w:rsidRDefault="002C7FBA" w:rsidP="002C7FBA">
      <w:pPr>
        <w:spacing w:after="0" w:line="240" w:lineRule="auto"/>
        <w:jc w:val="both"/>
        <w:rPr>
          <w:rFonts w:ascii="Arial" w:hAnsi="Arial" w:cs="Arial"/>
        </w:rPr>
      </w:pPr>
    </w:p>
    <w:p w:rsidR="00BE064F" w:rsidRPr="00BE064F" w:rsidRDefault="00BE064F" w:rsidP="00BE064F">
      <w:pPr>
        <w:pStyle w:val="Heading3"/>
        <w:rPr>
          <w:rFonts w:ascii="Arial" w:hAnsi="Arial" w:cs="Arial"/>
          <w:sz w:val="22"/>
          <w:szCs w:val="22"/>
          <w:u w:val="single"/>
        </w:rPr>
      </w:pPr>
      <w:bookmarkStart w:id="1" w:name="_CPA14"/>
      <w:r w:rsidRPr="00BE064F">
        <w:rPr>
          <w:rFonts w:ascii="Arial" w:hAnsi="Arial" w:cs="Arial"/>
          <w:sz w:val="22"/>
          <w:szCs w:val="22"/>
          <w:u w:val="single"/>
        </w:rPr>
        <w:t>§ 92-55.</w:t>
      </w:r>
      <w:r w:rsidRPr="00BE064F">
        <w:rPr>
          <w:rFonts w:ascii="Arial" w:hAnsi="Arial" w:cs="Arial"/>
          <w:sz w:val="22"/>
          <w:szCs w:val="22"/>
          <w:u w:val="single"/>
        </w:rPr>
        <w:tab/>
        <w:t>B-1 General Business Zone.</w:t>
      </w:r>
    </w:p>
    <w:p w:rsidR="00BE064F" w:rsidRPr="00BE064F" w:rsidRDefault="00BE064F" w:rsidP="00BE064F">
      <w:pPr>
        <w:pStyle w:val="Heading3"/>
        <w:rPr>
          <w:rFonts w:ascii="Arial" w:hAnsi="Arial" w:cs="Arial"/>
          <w:sz w:val="22"/>
          <w:szCs w:val="22"/>
        </w:rPr>
      </w:pPr>
    </w:p>
    <w:p w:rsidR="00BE064F" w:rsidRPr="00BE064F" w:rsidRDefault="00BE064F" w:rsidP="00BE064F">
      <w:pPr>
        <w:pStyle w:val="HolmdelFormat8"/>
        <w:rPr>
          <w:rFonts w:ascii="Arial" w:hAnsi="Arial" w:cs="Arial"/>
          <w:sz w:val="22"/>
          <w:szCs w:val="22"/>
        </w:rPr>
      </w:pPr>
      <w:r w:rsidRPr="00BE064F">
        <w:rPr>
          <w:rFonts w:ascii="Arial" w:hAnsi="Arial" w:cs="Arial"/>
          <w:sz w:val="22"/>
          <w:szCs w:val="22"/>
        </w:rPr>
        <w:t xml:space="preserve">The following regulations shall apply in the B-1 Zone: </w:t>
      </w:r>
    </w:p>
    <w:p w:rsidR="00BE064F" w:rsidRPr="00BE064F" w:rsidRDefault="00BE064F" w:rsidP="00BE064F">
      <w:pPr>
        <w:pStyle w:val="HolmdelIndentA0"/>
        <w:rPr>
          <w:rFonts w:ascii="Arial" w:hAnsi="Arial" w:cs="Arial"/>
          <w:sz w:val="22"/>
          <w:szCs w:val="22"/>
        </w:rPr>
      </w:pPr>
      <w:r w:rsidRPr="00BE064F">
        <w:rPr>
          <w:rFonts w:ascii="Arial" w:hAnsi="Arial" w:cs="Arial"/>
          <w:sz w:val="22"/>
          <w:szCs w:val="22"/>
        </w:rPr>
        <w:t>A.</w:t>
      </w:r>
      <w:r w:rsidRPr="00BE064F">
        <w:rPr>
          <w:rFonts w:ascii="Arial" w:hAnsi="Arial" w:cs="Arial"/>
          <w:sz w:val="22"/>
          <w:szCs w:val="22"/>
        </w:rPr>
        <w:tab/>
        <w:t>Permitted principal uses. (Amended 7-23-2013 by Ord. No. 22-2013)</w:t>
      </w:r>
    </w:p>
    <w:p w:rsidR="00BE064F" w:rsidRPr="00BE064F" w:rsidRDefault="00BE064F" w:rsidP="00BE064F">
      <w:pPr>
        <w:pStyle w:val="HolmdelIndent1"/>
        <w:rPr>
          <w:rFonts w:ascii="Arial" w:hAnsi="Arial" w:cs="Arial"/>
          <w:sz w:val="22"/>
          <w:szCs w:val="22"/>
        </w:rPr>
      </w:pPr>
      <w:r w:rsidRPr="00BE064F">
        <w:rPr>
          <w:rFonts w:ascii="Arial" w:hAnsi="Arial" w:cs="Arial"/>
          <w:sz w:val="22"/>
          <w:szCs w:val="22"/>
        </w:rPr>
        <w:tab/>
        <w:t>(1)</w:t>
      </w:r>
      <w:r w:rsidRPr="00BE064F">
        <w:rPr>
          <w:rFonts w:ascii="Arial" w:hAnsi="Arial" w:cs="Arial"/>
          <w:sz w:val="22"/>
          <w:szCs w:val="22"/>
        </w:rPr>
        <w:tab/>
        <w:t>Bakery.</w:t>
      </w:r>
    </w:p>
    <w:p w:rsidR="00BE064F" w:rsidRPr="00BE064F" w:rsidRDefault="00BE064F" w:rsidP="00BE064F">
      <w:pPr>
        <w:pStyle w:val="HolmdelIndent1"/>
        <w:rPr>
          <w:rFonts w:ascii="Arial" w:hAnsi="Arial" w:cs="Arial"/>
          <w:sz w:val="22"/>
          <w:szCs w:val="22"/>
        </w:rPr>
      </w:pPr>
      <w:r w:rsidRPr="00BE064F">
        <w:rPr>
          <w:rFonts w:ascii="Arial" w:hAnsi="Arial" w:cs="Arial"/>
          <w:sz w:val="22"/>
          <w:szCs w:val="22"/>
        </w:rPr>
        <w:tab/>
        <w:t>(2)</w:t>
      </w:r>
      <w:r w:rsidRPr="00BE064F">
        <w:rPr>
          <w:rFonts w:ascii="Arial" w:hAnsi="Arial" w:cs="Arial"/>
          <w:sz w:val="22"/>
          <w:szCs w:val="22"/>
        </w:rPr>
        <w:tab/>
        <w:t>Banks and other financial institutions.</w:t>
      </w:r>
    </w:p>
    <w:p w:rsidR="00BE064F" w:rsidRPr="00BE064F" w:rsidRDefault="00BE064F" w:rsidP="00BE064F">
      <w:pPr>
        <w:pStyle w:val="HolmdelIndent1"/>
        <w:rPr>
          <w:rFonts w:ascii="Arial" w:hAnsi="Arial" w:cs="Arial"/>
          <w:sz w:val="22"/>
          <w:szCs w:val="22"/>
        </w:rPr>
      </w:pPr>
      <w:r w:rsidRPr="00BE064F">
        <w:rPr>
          <w:rFonts w:ascii="Arial" w:hAnsi="Arial" w:cs="Arial"/>
          <w:sz w:val="22"/>
          <w:szCs w:val="22"/>
        </w:rPr>
        <w:tab/>
        <w:t>(3)</w:t>
      </w:r>
      <w:r w:rsidRPr="00BE064F">
        <w:rPr>
          <w:rFonts w:ascii="Arial" w:hAnsi="Arial" w:cs="Arial"/>
          <w:sz w:val="22"/>
          <w:szCs w:val="22"/>
        </w:rPr>
        <w:tab/>
        <w:t>Barbershops and beauty parlors.</w:t>
      </w:r>
    </w:p>
    <w:p w:rsidR="00BE064F" w:rsidRPr="00BE064F" w:rsidRDefault="00BE064F" w:rsidP="00BE064F">
      <w:pPr>
        <w:pStyle w:val="HolmdelIndent1"/>
        <w:rPr>
          <w:rFonts w:ascii="Arial" w:hAnsi="Arial" w:cs="Arial"/>
          <w:sz w:val="22"/>
          <w:szCs w:val="22"/>
        </w:rPr>
      </w:pPr>
      <w:r w:rsidRPr="00BE064F">
        <w:rPr>
          <w:rFonts w:ascii="Arial" w:hAnsi="Arial" w:cs="Arial"/>
          <w:sz w:val="22"/>
          <w:szCs w:val="22"/>
        </w:rPr>
        <w:tab/>
        <w:t>(4)</w:t>
      </w:r>
      <w:r w:rsidRPr="00BE064F">
        <w:rPr>
          <w:rFonts w:ascii="Arial" w:hAnsi="Arial" w:cs="Arial"/>
          <w:sz w:val="22"/>
          <w:szCs w:val="22"/>
        </w:rPr>
        <w:tab/>
        <w:t>Book and stationery stores.</w:t>
      </w:r>
    </w:p>
    <w:p w:rsidR="00BE064F" w:rsidRPr="00BE064F" w:rsidRDefault="00BE064F" w:rsidP="00BE064F">
      <w:pPr>
        <w:pStyle w:val="HolmdelIndent1"/>
        <w:rPr>
          <w:rFonts w:ascii="Arial" w:hAnsi="Arial" w:cs="Arial"/>
          <w:sz w:val="22"/>
          <w:szCs w:val="22"/>
        </w:rPr>
      </w:pPr>
      <w:r w:rsidRPr="00BE064F">
        <w:rPr>
          <w:rFonts w:ascii="Arial" w:hAnsi="Arial" w:cs="Arial"/>
          <w:sz w:val="22"/>
          <w:szCs w:val="22"/>
        </w:rPr>
        <w:tab/>
        <w:t>(5)</w:t>
      </w:r>
      <w:r w:rsidRPr="00BE064F">
        <w:rPr>
          <w:rFonts w:ascii="Arial" w:hAnsi="Arial" w:cs="Arial"/>
          <w:sz w:val="22"/>
          <w:szCs w:val="22"/>
        </w:rPr>
        <w:tab/>
        <w:t>Business schools.</w:t>
      </w:r>
    </w:p>
    <w:p w:rsidR="00BE064F" w:rsidRPr="00BE064F" w:rsidRDefault="00BE064F" w:rsidP="00BE064F">
      <w:pPr>
        <w:pStyle w:val="HolmdelIndent1"/>
        <w:rPr>
          <w:rFonts w:ascii="Arial" w:hAnsi="Arial" w:cs="Arial"/>
          <w:sz w:val="22"/>
          <w:szCs w:val="22"/>
        </w:rPr>
      </w:pPr>
      <w:r w:rsidRPr="00BE064F">
        <w:rPr>
          <w:rFonts w:ascii="Arial" w:hAnsi="Arial" w:cs="Arial"/>
          <w:sz w:val="22"/>
          <w:szCs w:val="22"/>
        </w:rPr>
        <w:tab/>
        <w:t>(6)</w:t>
      </w:r>
      <w:r w:rsidRPr="00BE064F">
        <w:rPr>
          <w:rFonts w:ascii="Arial" w:hAnsi="Arial" w:cs="Arial"/>
          <w:sz w:val="22"/>
          <w:szCs w:val="22"/>
        </w:rPr>
        <w:tab/>
        <w:t>Cigar stores.</w:t>
      </w:r>
    </w:p>
    <w:p w:rsidR="00BE064F" w:rsidRPr="00BE064F" w:rsidRDefault="00BE064F" w:rsidP="00BE064F">
      <w:pPr>
        <w:pStyle w:val="HolmdelIndent1"/>
        <w:rPr>
          <w:rFonts w:ascii="Arial" w:hAnsi="Arial" w:cs="Arial"/>
          <w:sz w:val="22"/>
          <w:szCs w:val="22"/>
        </w:rPr>
      </w:pPr>
      <w:r w:rsidRPr="00BE064F">
        <w:rPr>
          <w:rFonts w:ascii="Arial" w:hAnsi="Arial" w:cs="Arial"/>
          <w:sz w:val="22"/>
          <w:szCs w:val="22"/>
        </w:rPr>
        <w:tab/>
        <w:t>(7)</w:t>
      </w:r>
      <w:r w:rsidRPr="00BE064F">
        <w:rPr>
          <w:rFonts w:ascii="Arial" w:hAnsi="Arial" w:cs="Arial"/>
          <w:sz w:val="22"/>
          <w:szCs w:val="22"/>
        </w:rPr>
        <w:tab/>
        <w:t>Clothing and clothing accessory shops.</w:t>
      </w:r>
    </w:p>
    <w:p w:rsidR="00BE064F" w:rsidRPr="00BE064F" w:rsidRDefault="00BE064F" w:rsidP="00BE064F">
      <w:pPr>
        <w:pStyle w:val="HolmdelIndent1"/>
        <w:rPr>
          <w:rFonts w:ascii="Arial" w:hAnsi="Arial" w:cs="Arial"/>
          <w:sz w:val="22"/>
          <w:szCs w:val="22"/>
        </w:rPr>
      </w:pPr>
      <w:r w:rsidRPr="00BE064F">
        <w:rPr>
          <w:rFonts w:ascii="Arial" w:hAnsi="Arial" w:cs="Arial"/>
          <w:sz w:val="22"/>
          <w:szCs w:val="22"/>
        </w:rPr>
        <w:tab/>
        <w:t>(8)</w:t>
      </w:r>
      <w:r w:rsidRPr="00BE064F">
        <w:rPr>
          <w:rFonts w:ascii="Arial" w:hAnsi="Arial" w:cs="Arial"/>
          <w:sz w:val="22"/>
          <w:szCs w:val="22"/>
        </w:rPr>
        <w:tab/>
        <w:t>Pharmacies.</w:t>
      </w:r>
    </w:p>
    <w:p w:rsidR="00BE064F" w:rsidRPr="00BE064F" w:rsidRDefault="00BE064F" w:rsidP="00BE064F">
      <w:pPr>
        <w:pStyle w:val="HolmdelIndent1"/>
        <w:rPr>
          <w:rFonts w:ascii="Arial" w:hAnsi="Arial" w:cs="Arial"/>
          <w:sz w:val="22"/>
          <w:szCs w:val="22"/>
        </w:rPr>
      </w:pPr>
      <w:r w:rsidRPr="00BE064F">
        <w:rPr>
          <w:rFonts w:ascii="Arial" w:hAnsi="Arial" w:cs="Arial"/>
          <w:sz w:val="22"/>
          <w:szCs w:val="22"/>
        </w:rPr>
        <w:tab/>
        <w:t>(9)</w:t>
      </w:r>
      <w:r w:rsidRPr="00BE064F">
        <w:rPr>
          <w:rFonts w:ascii="Arial" w:hAnsi="Arial" w:cs="Arial"/>
          <w:sz w:val="22"/>
          <w:szCs w:val="22"/>
        </w:rPr>
        <w:tab/>
        <w:t>Dry-cleaning provided that no flammable cleaning agents are used.</w:t>
      </w:r>
    </w:p>
    <w:p w:rsidR="00BE064F" w:rsidRPr="00BE064F" w:rsidRDefault="00BE064F" w:rsidP="00BE064F">
      <w:pPr>
        <w:pStyle w:val="HolmdelIndent1"/>
        <w:rPr>
          <w:rFonts w:ascii="Arial" w:hAnsi="Arial" w:cs="Arial"/>
          <w:sz w:val="22"/>
          <w:szCs w:val="22"/>
        </w:rPr>
      </w:pPr>
      <w:r w:rsidRPr="00BE064F">
        <w:rPr>
          <w:rFonts w:ascii="Arial" w:hAnsi="Arial" w:cs="Arial"/>
          <w:sz w:val="22"/>
          <w:szCs w:val="22"/>
        </w:rPr>
        <w:tab/>
        <w:t>(10)</w:t>
      </w:r>
      <w:r w:rsidRPr="00BE064F">
        <w:rPr>
          <w:rFonts w:ascii="Arial" w:hAnsi="Arial" w:cs="Arial"/>
          <w:sz w:val="22"/>
          <w:szCs w:val="22"/>
        </w:rPr>
        <w:tab/>
        <w:t>Convenience stores.</w:t>
      </w:r>
    </w:p>
    <w:p w:rsidR="00BE064F" w:rsidRPr="00BE064F" w:rsidRDefault="00BE064F" w:rsidP="00BE064F">
      <w:pPr>
        <w:pStyle w:val="HolmdelIndent1"/>
        <w:rPr>
          <w:rFonts w:ascii="Arial" w:hAnsi="Arial" w:cs="Arial"/>
          <w:sz w:val="22"/>
          <w:szCs w:val="22"/>
        </w:rPr>
      </w:pPr>
      <w:r w:rsidRPr="00BE064F">
        <w:rPr>
          <w:rFonts w:ascii="Arial" w:hAnsi="Arial" w:cs="Arial"/>
          <w:sz w:val="22"/>
          <w:szCs w:val="22"/>
        </w:rPr>
        <w:tab/>
        <w:t>(11)</w:t>
      </w:r>
      <w:r w:rsidRPr="00BE064F">
        <w:rPr>
          <w:rFonts w:ascii="Arial" w:hAnsi="Arial" w:cs="Arial"/>
          <w:sz w:val="22"/>
          <w:szCs w:val="22"/>
        </w:rPr>
        <w:tab/>
        <w:t>Eating and drinking places.</w:t>
      </w:r>
    </w:p>
    <w:p w:rsidR="00BE064F" w:rsidRPr="00BE064F" w:rsidRDefault="00BE064F" w:rsidP="00BE064F">
      <w:pPr>
        <w:pStyle w:val="HolmdelIndent1"/>
        <w:jc w:val="left"/>
        <w:rPr>
          <w:rFonts w:ascii="Arial" w:hAnsi="Arial" w:cs="Arial"/>
          <w:sz w:val="22"/>
          <w:szCs w:val="22"/>
        </w:rPr>
      </w:pPr>
      <w:r w:rsidRPr="00BE064F">
        <w:rPr>
          <w:rFonts w:ascii="Arial" w:hAnsi="Arial" w:cs="Arial"/>
          <w:sz w:val="22"/>
          <w:szCs w:val="22"/>
        </w:rPr>
        <w:tab/>
        <w:t>(12)</w:t>
      </w:r>
      <w:r w:rsidRPr="00BE064F">
        <w:rPr>
          <w:rFonts w:ascii="Arial" w:hAnsi="Arial" w:cs="Arial"/>
          <w:sz w:val="22"/>
          <w:szCs w:val="22"/>
        </w:rPr>
        <w:tab/>
        <w:t>Electric substations, including transformers, switches and auxiliary apparatus, serving a distribution area.</w:t>
      </w:r>
    </w:p>
    <w:p w:rsidR="00BE064F" w:rsidRPr="00BE064F" w:rsidRDefault="00BE064F" w:rsidP="00BE064F">
      <w:pPr>
        <w:pStyle w:val="HolmdelIndent1"/>
        <w:rPr>
          <w:rFonts w:ascii="Arial" w:hAnsi="Arial" w:cs="Arial"/>
          <w:sz w:val="22"/>
          <w:szCs w:val="22"/>
        </w:rPr>
      </w:pPr>
      <w:r w:rsidRPr="00BE064F">
        <w:rPr>
          <w:rFonts w:ascii="Arial" w:hAnsi="Arial" w:cs="Arial"/>
          <w:sz w:val="22"/>
          <w:szCs w:val="22"/>
        </w:rPr>
        <w:tab/>
        <w:t>(13)</w:t>
      </w:r>
      <w:r w:rsidRPr="00BE064F">
        <w:rPr>
          <w:rFonts w:ascii="Arial" w:hAnsi="Arial" w:cs="Arial"/>
          <w:sz w:val="22"/>
          <w:szCs w:val="22"/>
        </w:rPr>
        <w:tab/>
        <w:t>Electricians.</w:t>
      </w:r>
    </w:p>
    <w:p w:rsidR="00BE064F" w:rsidRPr="00BE064F" w:rsidRDefault="00BE064F" w:rsidP="00BE064F">
      <w:pPr>
        <w:pStyle w:val="HolmdelIndent1"/>
        <w:rPr>
          <w:rFonts w:ascii="Arial" w:hAnsi="Arial" w:cs="Arial"/>
          <w:sz w:val="22"/>
          <w:szCs w:val="22"/>
        </w:rPr>
      </w:pPr>
      <w:r w:rsidRPr="00BE064F">
        <w:rPr>
          <w:rFonts w:ascii="Arial" w:hAnsi="Arial" w:cs="Arial"/>
          <w:sz w:val="22"/>
          <w:szCs w:val="22"/>
        </w:rPr>
        <w:tab/>
        <w:t>(14)</w:t>
      </w:r>
      <w:r w:rsidRPr="00BE064F">
        <w:rPr>
          <w:rFonts w:ascii="Arial" w:hAnsi="Arial" w:cs="Arial"/>
          <w:sz w:val="22"/>
          <w:szCs w:val="22"/>
        </w:rPr>
        <w:tab/>
        <w:t>Fire and police stations.</w:t>
      </w:r>
    </w:p>
    <w:p w:rsidR="00BE064F" w:rsidRPr="00BE064F" w:rsidRDefault="00BE064F" w:rsidP="00BE064F">
      <w:pPr>
        <w:pStyle w:val="HolmdelIndent1"/>
        <w:rPr>
          <w:rFonts w:ascii="Arial" w:hAnsi="Arial" w:cs="Arial"/>
          <w:sz w:val="22"/>
          <w:szCs w:val="22"/>
        </w:rPr>
      </w:pPr>
      <w:r w:rsidRPr="00BE064F">
        <w:rPr>
          <w:rFonts w:ascii="Arial" w:hAnsi="Arial" w:cs="Arial"/>
          <w:sz w:val="22"/>
          <w:szCs w:val="22"/>
        </w:rPr>
        <w:tab/>
        <w:t>(15)</w:t>
      </w:r>
      <w:r w:rsidRPr="00BE064F">
        <w:rPr>
          <w:rFonts w:ascii="Arial" w:hAnsi="Arial" w:cs="Arial"/>
          <w:sz w:val="22"/>
          <w:szCs w:val="22"/>
        </w:rPr>
        <w:tab/>
        <w:t>Florists.</w:t>
      </w:r>
    </w:p>
    <w:p w:rsidR="00BE064F" w:rsidRPr="00BE064F" w:rsidRDefault="00BE064F" w:rsidP="00BE064F">
      <w:pPr>
        <w:pStyle w:val="HolmdelIndent1"/>
        <w:rPr>
          <w:rFonts w:ascii="Arial" w:hAnsi="Arial" w:cs="Arial"/>
          <w:sz w:val="22"/>
          <w:szCs w:val="22"/>
        </w:rPr>
      </w:pPr>
      <w:r w:rsidRPr="00BE064F">
        <w:rPr>
          <w:rFonts w:ascii="Arial" w:hAnsi="Arial" w:cs="Arial"/>
          <w:sz w:val="22"/>
          <w:szCs w:val="22"/>
        </w:rPr>
        <w:tab/>
        <w:t>(16)</w:t>
      </w:r>
      <w:r w:rsidRPr="00BE064F">
        <w:rPr>
          <w:rFonts w:ascii="Arial" w:hAnsi="Arial" w:cs="Arial"/>
          <w:sz w:val="22"/>
          <w:szCs w:val="22"/>
        </w:rPr>
        <w:tab/>
        <w:t>Food stores.</w:t>
      </w:r>
    </w:p>
    <w:p w:rsidR="00BE064F" w:rsidRPr="00BE064F" w:rsidRDefault="00BE064F" w:rsidP="00BE064F">
      <w:pPr>
        <w:pStyle w:val="HolmdelIndent1"/>
        <w:rPr>
          <w:rFonts w:ascii="Arial" w:hAnsi="Arial" w:cs="Arial"/>
          <w:sz w:val="22"/>
          <w:szCs w:val="22"/>
        </w:rPr>
      </w:pPr>
      <w:r w:rsidRPr="00BE064F">
        <w:rPr>
          <w:rFonts w:ascii="Arial" w:hAnsi="Arial" w:cs="Arial"/>
          <w:sz w:val="22"/>
          <w:szCs w:val="22"/>
        </w:rPr>
        <w:tab/>
        <w:t>(17)</w:t>
      </w:r>
      <w:r w:rsidRPr="00BE064F">
        <w:rPr>
          <w:rFonts w:ascii="Arial" w:hAnsi="Arial" w:cs="Arial"/>
          <w:sz w:val="22"/>
          <w:szCs w:val="22"/>
        </w:rPr>
        <w:tab/>
        <w:t>Furniture stores.</w:t>
      </w:r>
    </w:p>
    <w:p w:rsidR="00BE064F" w:rsidRPr="00BE064F" w:rsidRDefault="00BE064F" w:rsidP="00BE064F">
      <w:pPr>
        <w:pStyle w:val="HolmdelIndent1"/>
        <w:rPr>
          <w:rFonts w:ascii="Arial" w:hAnsi="Arial" w:cs="Arial"/>
          <w:sz w:val="22"/>
          <w:szCs w:val="22"/>
        </w:rPr>
      </w:pPr>
      <w:r w:rsidRPr="00BE064F">
        <w:rPr>
          <w:rFonts w:ascii="Arial" w:hAnsi="Arial" w:cs="Arial"/>
          <w:sz w:val="22"/>
          <w:szCs w:val="22"/>
        </w:rPr>
        <w:tab/>
        <w:t>(18)</w:t>
      </w:r>
      <w:r w:rsidRPr="00BE064F">
        <w:rPr>
          <w:rFonts w:ascii="Arial" w:hAnsi="Arial" w:cs="Arial"/>
          <w:sz w:val="22"/>
          <w:szCs w:val="22"/>
        </w:rPr>
        <w:tab/>
        <w:t>Hardware stores.</w:t>
      </w:r>
    </w:p>
    <w:p w:rsidR="00BE064F" w:rsidRPr="00BE064F" w:rsidRDefault="00BE064F" w:rsidP="00BE064F">
      <w:pPr>
        <w:pStyle w:val="HolmdelIndent1"/>
        <w:rPr>
          <w:rFonts w:ascii="Arial" w:hAnsi="Arial" w:cs="Arial"/>
          <w:sz w:val="22"/>
          <w:szCs w:val="22"/>
        </w:rPr>
      </w:pPr>
      <w:r w:rsidRPr="00BE064F">
        <w:rPr>
          <w:rFonts w:ascii="Arial" w:hAnsi="Arial" w:cs="Arial"/>
          <w:sz w:val="22"/>
          <w:szCs w:val="22"/>
        </w:rPr>
        <w:tab/>
        <w:t>(19)</w:t>
      </w:r>
      <w:r w:rsidRPr="00BE064F">
        <w:rPr>
          <w:rFonts w:ascii="Arial" w:hAnsi="Arial" w:cs="Arial"/>
          <w:sz w:val="22"/>
          <w:szCs w:val="22"/>
        </w:rPr>
        <w:tab/>
        <w:t>Household-appliance stores.</w:t>
      </w:r>
    </w:p>
    <w:p w:rsidR="00BE064F" w:rsidRPr="00BE064F" w:rsidRDefault="00BE064F" w:rsidP="00BE064F">
      <w:pPr>
        <w:pStyle w:val="HolmdelIndent1"/>
        <w:rPr>
          <w:rFonts w:ascii="Arial" w:hAnsi="Arial" w:cs="Arial"/>
          <w:sz w:val="22"/>
          <w:szCs w:val="22"/>
        </w:rPr>
      </w:pPr>
      <w:r w:rsidRPr="00BE064F">
        <w:rPr>
          <w:rFonts w:ascii="Arial" w:hAnsi="Arial" w:cs="Arial"/>
          <w:sz w:val="22"/>
          <w:szCs w:val="22"/>
        </w:rPr>
        <w:lastRenderedPageBreak/>
        <w:tab/>
        <w:t>(20)</w:t>
      </w:r>
      <w:r w:rsidRPr="00BE064F">
        <w:rPr>
          <w:rFonts w:ascii="Arial" w:hAnsi="Arial" w:cs="Arial"/>
          <w:sz w:val="22"/>
          <w:szCs w:val="22"/>
        </w:rPr>
        <w:tab/>
        <w:t>Interior-decorating shops.</w:t>
      </w:r>
    </w:p>
    <w:p w:rsidR="00BE064F" w:rsidRPr="00BE064F" w:rsidRDefault="00BE064F" w:rsidP="00BE064F">
      <w:pPr>
        <w:pStyle w:val="HolmdelIndent1"/>
        <w:rPr>
          <w:rFonts w:ascii="Arial" w:hAnsi="Arial" w:cs="Arial"/>
          <w:sz w:val="22"/>
          <w:szCs w:val="22"/>
        </w:rPr>
      </w:pPr>
      <w:r w:rsidRPr="00BE064F">
        <w:rPr>
          <w:rFonts w:ascii="Arial" w:hAnsi="Arial" w:cs="Arial"/>
          <w:sz w:val="22"/>
          <w:szCs w:val="22"/>
        </w:rPr>
        <w:tab/>
        <w:t>(21)</w:t>
      </w:r>
      <w:r w:rsidRPr="00BE064F">
        <w:rPr>
          <w:rFonts w:ascii="Arial" w:hAnsi="Arial" w:cs="Arial"/>
          <w:sz w:val="22"/>
          <w:szCs w:val="22"/>
        </w:rPr>
        <w:tab/>
        <w:t>Printing.</w:t>
      </w:r>
    </w:p>
    <w:p w:rsidR="00BE064F" w:rsidRPr="00BE064F" w:rsidRDefault="00BE064F" w:rsidP="00BE064F">
      <w:pPr>
        <w:pStyle w:val="HolmdelIndent1"/>
        <w:rPr>
          <w:rFonts w:ascii="Arial" w:hAnsi="Arial" w:cs="Arial"/>
          <w:sz w:val="22"/>
          <w:szCs w:val="22"/>
        </w:rPr>
      </w:pPr>
      <w:r w:rsidRPr="00BE064F">
        <w:rPr>
          <w:rFonts w:ascii="Arial" w:hAnsi="Arial" w:cs="Arial"/>
          <w:sz w:val="22"/>
          <w:szCs w:val="22"/>
        </w:rPr>
        <w:tab/>
        <w:t>(22)</w:t>
      </w:r>
      <w:r w:rsidRPr="00BE064F">
        <w:rPr>
          <w:rFonts w:ascii="Arial" w:hAnsi="Arial" w:cs="Arial"/>
          <w:sz w:val="22"/>
          <w:szCs w:val="22"/>
        </w:rPr>
        <w:tab/>
        <w:t>Laundries, hand or automatic, self-service.</w:t>
      </w:r>
    </w:p>
    <w:p w:rsidR="00BE064F" w:rsidRPr="00BE064F" w:rsidRDefault="00BE064F" w:rsidP="00BE064F">
      <w:pPr>
        <w:pStyle w:val="HolmdelIndent1"/>
        <w:rPr>
          <w:rFonts w:ascii="Arial" w:hAnsi="Arial" w:cs="Arial"/>
          <w:sz w:val="22"/>
          <w:szCs w:val="22"/>
        </w:rPr>
      </w:pPr>
      <w:r w:rsidRPr="00BE064F">
        <w:rPr>
          <w:rFonts w:ascii="Arial" w:hAnsi="Arial" w:cs="Arial"/>
          <w:sz w:val="22"/>
          <w:szCs w:val="22"/>
        </w:rPr>
        <w:tab/>
        <w:t>(23)</w:t>
      </w:r>
      <w:r w:rsidRPr="00BE064F">
        <w:rPr>
          <w:rFonts w:ascii="Arial" w:hAnsi="Arial" w:cs="Arial"/>
          <w:sz w:val="22"/>
          <w:szCs w:val="22"/>
        </w:rPr>
        <w:tab/>
        <w:t>Leather goods.</w:t>
      </w:r>
    </w:p>
    <w:p w:rsidR="00BE064F" w:rsidRPr="00BE064F" w:rsidRDefault="00BE064F" w:rsidP="00BE064F">
      <w:pPr>
        <w:pStyle w:val="HolmdelIndent1"/>
        <w:rPr>
          <w:rFonts w:ascii="Arial" w:hAnsi="Arial" w:cs="Arial"/>
          <w:sz w:val="22"/>
          <w:szCs w:val="22"/>
        </w:rPr>
      </w:pPr>
      <w:r w:rsidRPr="00BE064F">
        <w:rPr>
          <w:rFonts w:ascii="Arial" w:hAnsi="Arial" w:cs="Arial"/>
          <w:sz w:val="22"/>
          <w:szCs w:val="22"/>
        </w:rPr>
        <w:tab/>
        <w:t>(24)</w:t>
      </w:r>
      <w:r w:rsidRPr="00BE064F">
        <w:rPr>
          <w:rFonts w:ascii="Arial" w:hAnsi="Arial" w:cs="Arial"/>
          <w:sz w:val="22"/>
          <w:szCs w:val="22"/>
        </w:rPr>
        <w:tab/>
        <w:t>Locksmiths.</w:t>
      </w:r>
    </w:p>
    <w:p w:rsidR="00BE064F" w:rsidRPr="00BE064F" w:rsidRDefault="00BE064F" w:rsidP="00BE064F">
      <w:pPr>
        <w:pStyle w:val="HolmdelIndent1"/>
        <w:rPr>
          <w:rFonts w:ascii="Arial" w:hAnsi="Arial" w:cs="Arial"/>
          <w:sz w:val="22"/>
          <w:szCs w:val="22"/>
        </w:rPr>
      </w:pPr>
      <w:r w:rsidRPr="00BE064F">
        <w:rPr>
          <w:rFonts w:ascii="Arial" w:hAnsi="Arial" w:cs="Arial"/>
          <w:sz w:val="22"/>
          <w:szCs w:val="22"/>
        </w:rPr>
        <w:tab/>
        <w:t>(25)</w:t>
      </w:r>
      <w:r w:rsidRPr="00BE064F">
        <w:rPr>
          <w:rFonts w:ascii="Arial" w:hAnsi="Arial" w:cs="Arial"/>
          <w:sz w:val="22"/>
          <w:szCs w:val="22"/>
        </w:rPr>
        <w:tab/>
        <w:t>Appliance and electronics.</w:t>
      </w:r>
    </w:p>
    <w:p w:rsidR="00BE064F" w:rsidRPr="00BE064F" w:rsidRDefault="00BE064F" w:rsidP="00BE064F">
      <w:pPr>
        <w:pStyle w:val="HolmdelIndent1"/>
        <w:rPr>
          <w:rFonts w:ascii="Arial" w:hAnsi="Arial" w:cs="Arial"/>
          <w:sz w:val="22"/>
          <w:szCs w:val="22"/>
        </w:rPr>
      </w:pPr>
      <w:r w:rsidRPr="00BE064F">
        <w:rPr>
          <w:rFonts w:ascii="Arial" w:hAnsi="Arial" w:cs="Arial"/>
          <w:sz w:val="22"/>
          <w:szCs w:val="22"/>
        </w:rPr>
        <w:tab/>
        <w:t>(26)</w:t>
      </w:r>
      <w:r w:rsidRPr="00BE064F">
        <w:rPr>
          <w:rFonts w:ascii="Arial" w:hAnsi="Arial" w:cs="Arial"/>
          <w:sz w:val="22"/>
          <w:szCs w:val="22"/>
        </w:rPr>
        <w:tab/>
        <w:t>Newspapers.</w:t>
      </w:r>
    </w:p>
    <w:p w:rsidR="00BE064F" w:rsidRPr="00BE064F" w:rsidRDefault="00BE064F" w:rsidP="00BE064F">
      <w:pPr>
        <w:pStyle w:val="HolmdelIndent1"/>
        <w:rPr>
          <w:rFonts w:ascii="Arial" w:hAnsi="Arial" w:cs="Arial"/>
          <w:sz w:val="22"/>
          <w:szCs w:val="22"/>
        </w:rPr>
      </w:pPr>
      <w:r w:rsidRPr="00BE064F">
        <w:rPr>
          <w:rFonts w:ascii="Arial" w:hAnsi="Arial" w:cs="Arial"/>
          <w:sz w:val="22"/>
          <w:szCs w:val="22"/>
        </w:rPr>
        <w:tab/>
        <w:t>(27)</w:t>
      </w:r>
      <w:r w:rsidRPr="00BE064F">
        <w:rPr>
          <w:rFonts w:ascii="Arial" w:hAnsi="Arial" w:cs="Arial"/>
          <w:sz w:val="22"/>
          <w:szCs w:val="22"/>
        </w:rPr>
        <w:tab/>
        <w:t>Business, professional and governmental offices.</w:t>
      </w:r>
    </w:p>
    <w:p w:rsidR="00BE064F" w:rsidRPr="00BE064F" w:rsidRDefault="00BE064F" w:rsidP="00BE064F">
      <w:pPr>
        <w:pStyle w:val="HolmdelIndent1"/>
        <w:rPr>
          <w:rFonts w:ascii="Arial" w:hAnsi="Arial" w:cs="Arial"/>
          <w:sz w:val="22"/>
          <w:szCs w:val="22"/>
        </w:rPr>
      </w:pPr>
      <w:r w:rsidRPr="00BE064F">
        <w:rPr>
          <w:rFonts w:ascii="Arial" w:hAnsi="Arial" w:cs="Arial"/>
          <w:sz w:val="22"/>
          <w:szCs w:val="22"/>
        </w:rPr>
        <w:tab/>
        <w:t>(28)</w:t>
      </w:r>
      <w:r w:rsidRPr="00BE064F">
        <w:rPr>
          <w:rFonts w:ascii="Arial" w:hAnsi="Arial" w:cs="Arial"/>
          <w:sz w:val="22"/>
          <w:szCs w:val="22"/>
        </w:rPr>
        <w:tab/>
        <w:t>Package liquor stores.</w:t>
      </w:r>
    </w:p>
    <w:p w:rsidR="00BE064F" w:rsidRPr="00BE064F" w:rsidRDefault="00BE064F" w:rsidP="00BE064F">
      <w:pPr>
        <w:pStyle w:val="HolmdelIndent1"/>
        <w:rPr>
          <w:rFonts w:ascii="Arial" w:hAnsi="Arial" w:cs="Arial"/>
          <w:sz w:val="22"/>
          <w:szCs w:val="22"/>
        </w:rPr>
      </w:pPr>
      <w:r w:rsidRPr="00BE064F">
        <w:rPr>
          <w:rFonts w:ascii="Arial" w:hAnsi="Arial" w:cs="Arial"/>
          <w:sz w:val="22"/>
          <w:szCs w:val="22"/>
        </w:rPr>
        <w:tab/>
        <w:t>(29)</w:t>
      </w:r>
      <w:r w:rsidRPr="00BE064F">
        <w:rPr>
          <w:rFonts w:ascii="Arial" w:hAnsi="Arial" w:cs="Arial"/>
          <w:sz w:val="22"/>
          <w:szCs w:val="22"/>
        </w:rPr>
        <w:tab/>
        <w:t>Paint stores.</w:t>
      </w:r>
    </w:p>
    <w:p w:rsidR="00BE064F" w:rsidRPr="00BE064F" w:rsidRDefault="00BE064F" w:rsidP="00BE064F">
      <w:pPr>
        <w:pStyle w:val="HolmdelIndent1"/>
        <w:rPr>
          <w:rFonts w:ascii="Arial" w:hAnsi="Arial" w:cs="Arial"/>
          <w:sz w:val="22"/>
          <w:szCs w:val="22"/>
        </w:rPr>
      </w:pPr>
      <w:r w:rsidRPr="00BE064F">
        <w:rPr>
          <w:rFonts w:ascii="Arial" w:hAnsi="Arial" w:cs="Arial"/>
          <w:sz w:val="22"/>
          <w:szCs w:val="22"/>
        </w:rPr>
        <w:tab/>
        <w:t>(30)</w:t>
      </w:r>
      <w:r w:rsidRPr="00BE064F">
        <w:rPr>
          <w:rFonts w:ascii="Arial" w:hAnsi="Arial" w:cs="Arial"/>
          <w:sz w:val="22"/>
          <w:szCs w:val="22"/>
        </w:rPr>
        <w:tab/>
        <w:t>Commercial and public parking lots and garages for automobiles and trucks.</w:t>
      </w:r>
    </w:p>
    <w:p w:rsidR="00BE064F" w:rsidRPr="00BE064F" w:rsidRDefault="00BE064F" w:rsidP="00BE064F">
      <w:pPr>
        <w:pStyle w:val="HolmdelIndent1"/>
        <w:rPr>
          <w:rFonts w:ascii="Arial" w:hAnsi="Arial" w:cs="Arial"/>
          <w:sz w:val="22"/>
          <w:szCs w:val="22"/>
        </w:rPr>
      </w:pPr>
      <w:r w:rsidRPr="00BE064F">
        <w:rPr>
          <w:rFonts w:ascii="Arial" w:hAnsi="Arial" w:cs="Arial"/>
          <w:sz w:val="22"/>
          <w:szCs w:val="22"/>
        </w:rPr>
        <w:tab/>
        <w:t>(31)</w:t>
      </w:r>
      <w:r w:rsidRPr="00BE064F">
        <w:rPr>
          <w:rFonts w:ascii="Arial" w:hAnsi="Arial" w:cs="Arial"/>
          <w:sz w:val="22"/>
          <w:szCs w:val="22"/>
        </w:rPr>
        <w:tab/>
        <w:t>Pet shops.</w:t>
      </w:r>
    </w:p>
    <w:p w:rsidR="00BE064F" w:rsidRPr="00BE064F" w:rsidRDefault="00BE064F" w:rsidP="00BE064F">
      <w:pPr>
        <w:pStyle w:val="HolmdelIndent1"/>
        <w:rPr>
          <w:rFonts w:ascii="Arial" w:hAnsi="Arial" w:cs="Arial"/>
          <w:sz w:val="22"/>
          <w:szCs w:val="22"/>
        </w:rPr>
      </w:pPr>
      <w:r w:rsidRPr="00BE064F">
        <w:rPr>
          <w:rFonts w:ascii="Arial" w:hAnsi="Arial" w:cs="Arial"/>
          <w:sz w:val="22"/>
          <w:szCs w:val="22"/>
        </w:rPr>
        <w:tab/>
        <w:t>(32)</w:t>
      </w:r>
      <w:r w:rsidRPr="00BE064F">
        <w:rPr>
          <w:rFonts w:ascii="Arial" w:hAnsi="Arial" w:cs="Arial"/>
          <w:sz w:val="22"/>
          <w:szCs w:val="22"/>
        </w:rPr>
        <w:tab/>
        <w:t>Photographic studios.</w:t>
      </w:r>
    </w:p>
    <w:p w:rsidR="00BE064F" w:rsidRPr="00BE064F" w:rsidRDefault="00BE064F" w:rsidP="00BE064F">
      <w:pPr>
        <w:pStyle w:val="HolmdelIndent1"/>
        <w:rPr>
          <w:rFonts w:ascii="Arial" w:hAnsi="Arial" w:cs="Arial"/>
          <w:sz w:val="22"/>
          <w:szCs w:val="22"/>
        </w:rPr>
      </w:pPr>
      <w:r w:rsidRPr="00BE064F">
        <w:rPr>
          <w:rFonts w:ascii="Arial" w:hAnsi="Arial" w:cs="Arial"/>
          <w:sz w:val="22"/>
          <w:szCs w:val="22"/>
        </w:rPr>
        <w:tab/>
        <w:t>(33)</w:t>
      </w:r>
      <w:r w:rsidRPr="00BE064F">
        <w:rPr>
          <w:rFonts w:ascii="Arial" w:hAnsi="Arial" w:cs="Arial"/>
          <w:sz w:val="22"/>
          <w:szCs w:val="22"/>
        </w:rPr>
        <w:tab/>
        <w:t>Physical therapy and health services.</w:t>
      </w:r>
    </w:p>
    <w:p w:rsidR="00BE064F" w:rsidRPr="00BE064F" w:rsidRDefault="00BE064F" w:rsidP="00BE064F">
      <w:pPr>
        <w:pStyle w:val="HolmdelIndent1"/>
        <w:rPr>
          <w:rFonts w:ascii="Arial" w:hAnsi="Arial" w:cs="Arial"/>
          <w:sz w:val="22"/>
          <w:szCs w:val="22"/>
        </w:rPr>
      </w:pPr>
      <w:r w:rsidRPr="00BE064F">
        <w:rPr>
          <w:rFonts w:ascii="Arial" w:hAnsi="Arial" w:cs="Arial"/>
          <w:sz w:val="22"/>
          <w:szCs w:val="22"/>
        </w:rPr>
        <w:tab/>
        <w:t>(34)</w:t>
      </w:r>
      <w:r w:rsidRPr="00BE064F">
        <w:rPr>
          <w:rFonts w:ascii="Arial" w:hAnsi="Arial" w:cs="Arial"/>
          <w:sz w:val="22"/>
          <w:szCs w:val="22"/>
        </w:rPr>
        <w:tab/>
        <w:t>Plumbers.</w:t>
      </w:r>
    </w:p>
    <w:p w:rsidR="00BE064F" w:rsidRPr="00BE064F" w:rsidRDefault="00BE064F" w:rsidP="00BE064F">
      <w:pPr>
        <w:pStyle w:val="HolmdelIndent1"/>
        <w:rPr>
          <w:rFonts w:ascii="Arial" w:hAnsi="Arial" w:cs="Arial"/>
          <w:sz w:val="22"/>
          <w:szCs w:val="22"/>
        </w:rPr>
      </w:pPr>
      <w:r w:rsidRPr="00BE064F">
        <w:rPr>
          <w:rFonts w:ascii="Arial" w:hAnsi="Arial" w:cs="Arial"/>
          <w:sz w:val="22"/>
          <w:szCs w:val="22"/>
        </w:rPr>
        <w:tab/>
        <w:t>(35)</w:t>
      </w:r>
      <w:r w:rsidRPr="00BE064F">
        <w:rPr>
          <w:rFonts w:ascii="Arial" w:hAnsi="Arial" w:cs="Arial"/>
          <w:sz w:val="22"/>
          <w:szCs w:val="22"/>
        </w:rPr>
        <w:tab/>
        <w:t>Post offices.</w:t>
      </w:r>
    </w:p>
    <w:p w:rsidR="00BE064F" w:rsidRPr="00BE064F" w:rsidRDefault="00BE064F" w:rsidP="00BE064F">
      <w:pPr>
        <w:pStyle w:val="HolmdelIndent1"/>
        <w:rPr>
          <w:rFonts w:ascii="Arial" w:hAnsi="Arial" w:cs="Arial"/>
          <w:sz w:val="22"/>
          <w:szCs w:val="22"/>
        </w:rPr>
      </w:pPr>
      <w:r w:rsidRPr="00BE064F">
        <w:rPr>
          <w:rFonts w:ascii="Arial" w:hAnsi="Arial" w:cs="Arial"/>
          <w:sz w:val="22"/>
          <w:szCs w:val="22"/>
        </w:rPr>
        <w:tab/>
        <w:t>(36)</w:t>
      </w:r>
      <w:r w:rsidRPr="00BE064F">
        <w:rPr>
          <w:rFonts w:ascii="Arial" w:hAnsi="Arial" w:cs="Arial"/>
          <w:sz w:val="22"/>
          <w:szCs w:val="22"/>
        </w:rPr>
        <w:tab/>
        <w:t>Sporting and athletic goods stores.</w:t>
      </w:r>
    </w:p>
    <w:p w:rsidR="00BE064F" w:rsidRPr="00BE064F" w:rsidRDefault="00BE064F" w:rsidP="00BE064F">
      <w:pPr>
        <w:pStyle w:val="HolmdelIndent1"/>
        <w:rPr>
          <w:rFonts w:ascii="Arial" w:hAnsi="Arial" w:cs="Arial"/>
          <w:sz w:val="22"/>
          <w:szCs w:val="22"/>
        </w:rPr>
      </w:pPr>
      <w:r w:rsidRPr="00BE064F">
        <w:rPr>
          <w:rFonts w:ascii="Arial" w:hAnsi="Arial" w:cs="Arial"/>
          <w:sz w:val="22"/>
          <w:szCs w:val="22"/>
        </w:rPr>
        <w:tab/>
        <w:t>(37)</w:t>
      </w:r>
      <w:r w:rsidRPr="00BE064F">
        <w:rPr>
          <w:rFonts w:ascii="Arial" w:hAnsi="Arial" w:cs="Arial"/>
          <w:sz w:val="22"/>
          <w:szCs w:val="22"/>
        </w:rPr>
        <w:tab/>
        <w:t>Music and dancing studios.</w:t>
      </w:r>
    </w:p>
    <w:p w:rsidR="00BE064F" w:rsidRPr="00BE064F" w:rsidRDefault="00BE064F" w:rsidP="00BE064F">
      <w:pPr>
        <w:pStyle w:val="HolmdelIndent1"/>
        <w:rPr>
          <w:rFonts w:ascii="Arial" w:hAnsi="Arial" w:cs="Arial"/>
          <w:sz w:val="22"/>
          <w:szCs w:val="22"/>
        </w:rPr>
      </w:pPr>
      <w:r w:rsidRPr="00BE064F">
        <w:rPr>
          <w:rFonts w:ascii="Arial" w:hAnsi="Arial" w:cs="Arial"/>
          <w:sz w:val="22"/>
          <w:szCs w:val="22"/>
        </w:rPr>
        <w:tab/>
        <w:t>(38)</w:t>
      </w:r>
      <w:r w:rsidRPr="00BE064F">
        <w:rPr>
          <w:rFonts w:ascii="Arial" w:hAnsi="Arial" w:cs="Arial"/>
          <w:sz w:val="22"/>
          <w:szCs w:val="22"/>
        </w:rPr>
        <w:tab/>
        <w:t>Custom tailors and furriers.</w:t>
      </w:r>
    </w:p>
    <w:p w:rsidR="00BE064F" w:rsidRPr="00BE064F" w:rsidRDefault="00BE064F" w:rsidP="00BE064F">
      <w:pPr>
        <w:pStyle w:val="HolmdelIndent1"/>
        <w:rPr>
          <w:rFonts w:ascii="Arial" w:hAnsi="Arial" w:cs="Arial"/>
          <w:sz w:val="22"/>
          <w:szCs w:val="22"/>
        </w:rPr>
      </w:pPr>
      <w:r w:rsidRPr="00BE064F">
        <w:rPr>
          <w:rFonts w:ascii="Arial" w:hAnsi="Arial" w:cs="Arial"/>
          <w:sz w:val="22"/>
          <w:szCs w:val="22"/>
        </w:rPr>
        <w:tab/>
        <w:t>(39)</w:t>
      </w:r>
      <w:r w:rsidRPr="00BE064F">
        <w:rPr>
          <w:rFonts w:ascii="Arial" w:hAnsi="Arial" w:cs="Arial"/>
          <w:sz w:val="22"/>
          <w:szCs w:val="22"/>
        </w:rPr>
        <w:tab/>
        <w:t>Theaters.</w:t>
      </w:r>
    </w:p>
    <w:p w:rsidR="00BE064F" w:rsidRPr="00BE064F" w:rsidRDefault="00BE064F" w:rsidP="00BE064F">
      <w:pPr>
        <w:pStyle w:val="HolmdelIndent1"/>
        <w:rPr>
          <w:rFonts w:ascii="Arial" w:hAnsi="Arial" w:cs="Arial"/>
          <w:sz w:val="22"/>
          <w:szCs w:val="22"/>
        </w:rPr>
      </w:pPr>
      <w:r w:rsidRPr="00BE064F">
        <w:rPr>
          <w:rFonts w:ascii="Arial" w:hAnsi="Arial" w:cs="Arial"/>
          <w:sz w:val="22"/>
          <w:szCs w:val="22"/>
        </w:rPr>
        <w:tab/>
        <w:t>(40)</w:t>
      </w:r>
      <w:r w:rsidRPr="00BE064F">
        <w:rPr>
          <w:rFonts w:ascii="Arial" w:hAnsi="Arial" w:cs="Arial"/>
          <w:sz w:val="22"/>
          <w:szCs w:val="22"/>
        </w:rPr>
        <w:tab/>
        <w:t>Undertakers and funeral parlors.</w:t>
      </w:r>
    </w:p>
    <w:p w:rsidR="00BE064F" w:rsidRPr="00BE064F" w:rsidRDefault="00BE064F" w:rsidP="00BE064F">
      <w:pPr>
        <w:pStyle w:val="HolmdelIndent1"/>
        <w:rPr>
          <w:rFonts w:ascii="Arial" w:hAnsi="Arial" w:cs="Arial"/>
          <w:sz w:val="22"/>
          <w:szCs w:val="22"/>
        </w:rPr>
      </w:pPr>
      <w:r w:rsidRPr="00BE064F">
        <w:rPr>
          <w:rFonts w:ascii="Arial" w:hAnsi="Arial" w:cs="Arial"/>
          <w:sz w:val="22"/>
          <w:szCs w:val="22"/>
        </w:rPr>
        <w:tab/>
        <w:t>(41)</w:t>
      </w:r>
      <w:r w:rsidRPr="00BE064F">
        <w:rPr>
          <w:rFonts w:ascii="Arial" w:hAnsi="Arial" w:cs="Arial"/>
          <w:sz w:val="22"/>
          <w:szCs w:val="22"/>
        </w:rPr>
        <w:tab/>
        <w:t>Upholsterers.</w:t>
      </w:r>
    </w:p>
    <w:p w:rsidR="00BE064F" w:rsidRPr="00BE064F" w:rsidRDefault="00BE064F" w:rsidP="00BE064F">
      <w:pPr>
        <w:pStyle w:val="HolmdelIndent1"/>
        <w:rPr>
          <w:rFonts w:ascii="Arial" w:hAnsi="Arial" w:cs="Arial"/>
          <w:sz w:val="22"/>
          <w:szCs w:val="22"/>
        </w:rPr>
      </w:pPr>
      <w:r w:rsidRPr="00BE064F">
        <w:rPr>
          <w:rFonts w:ascii="Arial" w:hAnsi="Arial" w:cs="Arial"/>
          <w:sz w:val="22"/>
          <w:szCs w:val="22"/>
        </w:rPr>
        <w:tab/>
        <w:t>(42)</w:t>
      </w:r>
      <w:r w:rsidRPr="00BE064F">
        <w:rPr>
          <w:rFonts w:ascii="Arial" w:hAnsi="Arial" w:cs="Arial"/>
          <w:sz w:val="22"/>
          <w:szCs w:val="22"/>
        </w:rPr>
        <w:tab/>
        <w:t>Variety shops.</w:t>
      </w:r>
    </w:p>
    <w:p w:rsidR="00BE064F" w:rsidRPr="00BE064F" w:rsidRDefault="00BE064F" w:rsidP="00BE064F">
      <w:pPr>
        <w:pStyle w:val="HolmdelIndent1"/>
        <w:rPr>
          <w:rFonts w:ascii="Arial" w:hAnsi="Arial" w:cs="Arial"/>
          <w:sz w:val="22"/>
          <w:szCs w:val="22"/>
        </w:rPr>
      </w:pPr>
      <w:r w:rsidRPr="00BE064F">
        <w:rPr>
          <w:rFonts w:ascii="Arial" w:hAnsi="Arial" w:cs="Arial"/>
          <w:sz w:val="22"/>
          <w:szCs w:val="22"/>
        </w:rPr>
        <w:tab/>
        <w:t>(43)</w:t>
      </w:r>
      <w:r w:rsidRPr="00BE064F">
        <w:rPr>
          <w:rFonts w:ascii="Arial" w:hAnsi="Arial" w:cs="Arial"/>
          <w:sz w:val="22"/>
          <w:szCs w:val="22"/>
        </w:rPr>
        <w:tab/>
        <w:t>Water- and sewer-pumping stations serving a local area.</w:t>
      </w:r>
    </w:p>
    <w:p w:rsidR="00BE064F" w:rsidRPr="00BE064F" w:rsidRDefault="00BE064F" w:rsidP="00BE064F">
      <w:pPr>
        <w:pStyle w:val="HolmdelIndent1"/>
        <w:rPr>
          <w:rFonts w:ascii="Arial" w:hAnsi="Arial" w:cs="Arial"/>
          <w:sz w:val="22"/>
          <w:szCs w:val="22"/>
        </w:rPr>
      </w:pPr>
      <w:r w:rsidRPr="00BE064F">
        <w:rPr>
          <w:rFonts w:ascii="Arial" w:hAnsi="Arial" w:cs="Arial"/>
          <w:sz w:val="22"/>
          <w:szCs w:val="22"/>
        </w:rPr>
        <w:tab/>
        <w:t>(44)</w:t>
      </w:r>
      <w:r w:rsidRPr="00BE064F">
        <w:rPr>
          <w:rFonts w:ascii="Arial" w:hAnsi="Arial" w:cs="Arial"/>
          <w:sz w:val="22"/>
          <w:szCs w:val="22"/>
        </w:rPr>
        <w:tab/>
        <w:t>Other similar retail and service uses.</w:t>
      </w:r>
    </w:p>
    <w:p w:rsidR="00BE064F" w:rsidRPr="00BE064F" w:rsidRDefault="00BE064F" w:rsidP="00BE064F">
      <w:pPr>
        <w:pStyle w:val="HolmdelIndentA0"/>
        <w:rPr>
          <w:rFonts w:ascii="Arial" w:hAnsi="Arial" w:cs="Arial"/>
          <w:sz w:val="22"/>
          <w:szCs w:val="22"/>
        </w:rPr>
      </w:pPr>
      <w:r w:rsidRPr="00BE064F">
        <w:rPr>
          <w:rFonts w:ascii="Arial" w:hAnsi="Arial" w:cs="Arial"/>
          <w:sz w:val="22"/>
          <w:szCs w:val="22"/>
        </w:rPr>
        <w:t>B.</w:t>
      </w:r>
      <w:r w:rsidRPr="00BE064F">
        <w:rPr>
          <w:rFonts w:ascii="Arial" w:hAnsi="Arial" w:cs="Arial"/>
          <w:sz w:val="22"/>
          <w:szCs w:val="22"/>
        </w:rPr>
        <w:tab/>
        <w:t>Accessory permitted uses. (See §§ 92-16 and 92-17)</w:t>
      </w:r>
    </w:p>
    <w:p w:rsidR="00BE064F" w:rsidRPr="00BE064F" w:rsidRDefault="00BE064F" w:rsidP="00BE064F">
      <w:pPr>
        <w:pStyle w:val="HolmdelIndent1"/>
        <w:rPr>
          <w:rFonts w:ascii="Arial" w:hAnsi="Arial" w:cs="Arial"/>
          <w:sz w:val="22"/>
          <w:szCs w:val="22"/>
        </w:rPr>
      </w:pPr>
      <w:r w:rsidRPr="00BE064F">
        <w:rPr>
          <w:rFonts w:ascii="Arial" w:hAnsi="Arial" w:cs="Arial"/>
          <w:sz w:val="22"/>
          <w:szCs w:val="22"/>
        </w:rPr>
        <w:tab/>
        <w:t>(1)</w:t>
      </w:r>
      <w:r w:rsidRPr="00BE064F">
        <w:rPr>
          <w:rFonts w:ascii="Arial" w:hAnsi="Arial" w:cs="Arial"/>
          <w:sz w:val="22"/>
          <w:szCs w:val="22"/>
        </w:rPr>
        <w:tab/>
        <w:t xml:space="preserve">Private parking and loading. (See §§ 92-22A and 92-22B) </w:t>
      </w:r>
    </w:p>
    <w:p w:rsidR="00BE064F" w:rsidRPr="00BE064F" w:rsidRDefault="00BE064F" w:rsidP="00BE064F">
      <w:pPr>
        <w:pStyle w:val="HolmdelIndent1"/>
        <w:rPr>
          <w:rFonts w:ascii="Arial" w:hAnsi="Arial" w:cs="Arial"/>
          <w:sz w:val="22"/>
          <w:szCs w:val="22"/>
        </w:rPr>
      </w:pPr>
      <w:r w:rsidRPr="00BE064F">
        <w:rPr>
          <w:rFonts w:ascii="Arial" w:hAnsi="Arial" w:cs="Arial"/>
          <w:sz w:val="22"/>
          <w:szCs w:val="22"/>
        </w:rPr>
        <w:tab/>
        <w:t>(2)</w:t>
      </w:r>
      <w:r w:rsidRPr="00BE064F">
        <w:rPr>
          <w:rFonts w:ascii="Arial" w:hAnsi="Arial" w:cs="Arial"/>
          <w:sz w:val="22"/>
          <w:szCs w:val="22"/>
        </w:rPr>
        <w:tab/>
        <w:t>Signs as regulated in § 92-26D and § 92-26.3P.</w:t>
      </w:r>
    </w:p>
    <w:p w:rsidR="00BE064F" w:rsidRPr="00BE064F" w:rsidRDefault="00BE064F" w:rsidP="00BE064F">
      <w:pPr>
        <w:pStyle w:val="HolmdelIndent1"/>
        <w:rPr>
          <w:rFonts w:ascii="Arial" w:hAnsi="Arial" w:cs="Arial"/>
          <w:sz w:val="22"/>
          <w:szCs w:val="22"/>
        </w:rPr>
      </w:pPr>
      <w:r w:rsidRPr="00BE064F">
        <w:rPr>
          <w:rFonts w:ascii="Arial" w:hAnsi="Arial" w:cs="Arial"/>
          <w:sz w:val="22"/>
          <w:szCs w:val="22"/>
        </w:rPr>
        <w:tab/>
        <w:t>(3)</w:t>
      </w:r>
      <w:r w:rsidRPr="00BE064F">
        <w:rPr>
          <w:rFonts w:ascii="Arial" w:hAnsi="Arial" w:cs="Arial"/>
          <w:sz w:val="22"/>
          <w:szCs w:val="22"/>
        </w:rPr>
        <w:tab/>
        <w:t>Other accessory uses customarily appurtenant to a permitted use.</w:t>
      </w:r>
    </w:p>
    <w:p w:rsidR="00BE064F" w:rsidRPr="00BE064F" w:rsidRDefault="00BE064F" w:rsidP="00BE064F">
      <w:pPr>
        <w:pStyle w:val="HolmdelIndentA0"/>
        <w:rPr>
          <w:rFonts w:ascii="Arial" w:hAnsi="Arial" w:cs="Arial"/>
          <w:sz w:val="22"/>
          <w:szCs w:val="22"/>
        </w:rPr>
      </w:pPr>
      <w:r w:rsidRPr="00BE064F">
        <w:rPr>
          <w:rFonts w:ascii="Arial" w:hAnsi="Arial" w:cs="Arial"/>
          <w:sz w:val="22"/>
          <w:szCs w:val="22"/>
        </w:rPr>
        <w:t>C.</w:t>
      </w:r>
      <w:r w:rsidRPr="00BE064F">
        <w:rPr>
          <w:rFonts w:ascii="Arial" w:hAnsi="Arial" w:cs="Arial"/>
          <w:sz w:val="22"/>
          <w:szCs w:val="22"/>
        </w:rPr>
        <w:tab/>
        <w:t>Conditional uses to be acted upon by the Planning Board, subject to § 92-24.</w:t>
      </w:r>
    </w:p>
    <w:p w:rsidR="00BE064F" w:rsidRPr="00BE064F" w:rsidRDefault="00BE064F" w:rsidP="00BE064F">
      <w:pPr>
        <w:pStyle w:val="HolmdelIndent1"/>
        <w:rPr>
          <w:rFonts w:ascii="Arial" w:hAnsi="Arial" w:cs="Arial"/>
          <w:sz w:val="22"/>
          <w:szCs w:val="22"/>
        </w:rPr>
      </w:pPr>
      <w:r w:rsidRPr="00BE064F">
        <w:rPr>
          <w:rFonts w:ascii="Arial" w:hAnsi="Arial" w:cs="Arial"/>
          <w:sz w:val="22"/>
          <w:szCs w:val="22"/>
        </w:rPr>
        <w:tab/>
        <w:t>(1)</w:t>
      </w:r>
      <w:r w:rsidRPr="00BE064F">
        <w:rPr>
          <w:rFonts w:ascii="Arial" w:hAnsi="Arial" w:cs="Arial"/>
          <w:sz w:val="22"/>
          <w:szCs w:val="22"/>
        </w:rPr>
        <w:tab/>
        <w:t>Automobile service stations, including major repairs. (See § 92-22E)</w:t>
      </w:r>
    </w:p>
    <w:p w:rsidR="00BE064F" w:rsidRPr="00BE064F" w:rsidRDefault="00BE064F" w:rsidP="00BE064F">
      <w:pPr>
        <w:pStyle w:val="HolmdelIndent1"/>
        <w:rPr>
          <w:rFonts w:ascii="Arial" w:hAnsi="Arial" w:cs="Arial"/>
          <w:sz w:val="22"/>
          <w:szCs w:val="22"/>
        </w:rPr>
      </w:pPr>
      <w:r w:rsidRPr="00BE064F">
        <w:rPr>
          <w:rFonts w:ascii="Arial" w:hAnsi="Arial" w:cs="Arial"/>
          <w:sz w:val="22"/>
          <w:szCs w:val="22"/>
        </w:rPr>
        <w:tab/>
        <w:t>(2)</w:t>
      </w:r>
      <w:r w:rsidRPr="00BE064F">
        <w:rPr>
          <w:rFonts w:ascii="Arial" w:hAnsi="Arial" w:cs="Arial"/>
          <w:sz w:val="22"/>
          <w:szCs w:val="22"/>
        </w:rPr>
        <w:tab/>
        <w:t>Automobile sales.</w:t>
      </w:r>
    </w:p>
    <w:p w:rsidR="00BE064F" w:rsidRPr="00BE064F" w:rsidRDefault="00BE064F" w:rsidP="00BE064F">
      <w:pPr>
        <w:pStyle w:val="HolmdelIndent1"/>
        <w:rPr>
          <w:rFonts w:ascii="Arial" w:hAnsi="Arial" w:cs="Arial"/>
          <w:sz w:val="22"/>
          <w:szCs w:val="22"/>
        </w:rPr>
      </w:pPr>
      <w:r w:rsidRPr="00BE064F">
        <w:rPr>
          <w:rFonts w:ascii="Arial" w:hAnsi="Arial" w:cs="Arial"/>
          <w:sz w:val="22"/>
          <w:szCs w:val="22"/>
        </w:rPr>
        <w:tab/>
        <w:t>(3)</w:t>
      </w:r>
      <w:r w:rsidRPr="00BE064F">
        <w:rPr>
          <w:rFonts w:ascii="Arial" w:hAnsi="Arial" w:cs="Arial"/>
          <w:sz w:val="22"/>
          <w:szCs w:val="22"/>
        </w:rPr>
        <w:tab/>
        <w:t>Motor vehicle repairs, including paint and body shops.</w:t>
      </w:r>
    </w:p>
    <w:p w:rsidR="00BE064F" w:rsidRPr="00BE064F" w:rsidRDefault="00BE064F" w:rsidP="00BE064F">
      <w:pPr>
        <w:pStyle w:val="HolmdelIndent1"/>
        <w:rPr>
          <w:rFonts w:ascii="Arial" w:hAnsi="Arial" w:cs="Arial"/>
          <w:sz w:val="22"/>
          <w:szCs w:val="22"/>
        </w:rPr>
      </w:pPr>
      <w:r w:rsidRPr="00BE064F">
        <w:rPr>
          <w:rFonts w:ascii="Arial" w:hAnsi="Arial" w:cs="Arial"/>
          <w:sz w:val="22"/>
          <w:szCs w:val="22"/>
        </w:rPr>
        <w:lastRenderedPageBreak/>
        <w:tab/>
        <w:t>(4)</w:t>
      </w:r>
      <w:r w:rsidRPr="00BE064F">
        <w:rPr>
          <w:rFonts w:ascii="Arial" w:hAnsi="Arial" w:cs="Arial"/>
          <w:sz w:val="22"/>
          <w:szCs w:val="22"/>
        </w:rPr>
        <w:tab/>
        <w:t>Hotels and motels.</w:t>
      </w:r>
    </w:p>
    <w:p w:rsidR="00BE064F" w:rsidRPr="00BE064F" w:rsidRDefault="00BE064F" w:rsidP="00BE064F">
      <w:pPr>
        <w:pStyle w:val="HolmdelIndent1"/>
        <w:rPr>
          <w:rFonts w:ascii="Arial" w:hAnsi="Arial" w:cs="Arial"/>
          <w:sz w:val="22"/>
          <w:szCs w:val="22"/>
        </w:rPr>
      </w:pPr>
      <w:r w:rsidRPr="00BE064F">
        <w:rPr>
          <w:rFonts w:ascii="Arial" w:hAnsi="Arial" w:cs="Arial"/>
          <w:sz w:val="22"/>
          <w:szCs w:val="22"/>
        </w:rPr>
        <w:tab/>
        <w:t>(5)</w:t>
      </w:r>
      <w:r w:rsidRPr="00BE064F">
        <w:rPr>
          <w:rFonts w:ascii="Arial" w:hAnsi="Arial" w:cs="Arial"/>
          <w:sz w:val="22"/>
          <w:szCs w:val="22"/>
        </w:rPr>
        <w:tab/>
        <w:t>Bowling alleys and pool halls or billiard parlors.</w:t>
      </w:r>
    </w:p>
    <w:p w:rsidR="00BE064F" w:rsidRDefault="00BE064F" w:rsidP="00BE064F">
      <w:pPr>
        <w:pStyle w:val="HolmdelIndent1"/>
        <w:rPr>
          <w:rFonts w:ascii="Arial" w:hAnsi="Arial" w:cs="Arial"/>
          <w:sz w:val="22"/>
          <w:szCs w:val="22"/>
        </w:rPr>
      </w:pPr>
      <w:r w:rsidRPr="00BE064F">
        <w:rPr>
          <w:rFonts w:ascii="Arial" w:hAnsi="Arial" w:cs="Arial"/>
          <w:sz w:val="22"/>
          <w:szCs w:val="22"/>
        </w:rPr>
        <w:tab/>
        <w:t>(6)</w:t>
      </w:r>
      <w:r w:rsidRPr="00BE064F">
        <w:rPr>
          <w:rFonts w:ascii="Arial" w:hAnsi="Arial" w:cs="Arial"/>
          <w:sz w:val="22"/>
          <w:szCs w:val="22"/>
        </w:rPr>
        <w:tab/>
        <w:t>Social halls, lodges, fraternal organizations and clubs.</w:t>
      </w:r>
    </w:p>
    <w:p w:rsidR="00BE064F" w:rsidRPr="00BE064F" w:rsidRDefault="00BE064F" w:rsidP="00BE064F">
      <w:pPr>
        <w:pStyle w:val="HolmdelIndent1"/>
        <w:rPr>
          <w:rFonts w:ascii="Arial" w:hAnsi="Arial" w:cs="Arial"/>
          <w:sz w:val="22"/>
          <w:szCs w:val="22"/>
        </w:rPr>
      </w:pPr>
      <w:r>
        <w:rPr>
          <w:rFonts w:ascii="Arial" w:hAnsi="Arial" w:cs="Arial"/>
          <w:sz w:val="22"/>
          <w:szCs w:val="22"/>
        </w:rPr>
        <w:tab/>
        <w:t>(7) Dwelling units above retail/office.</w:t>
      </w:r>
    </w:p>
    <w:p w:rsidR="00BE064F" w:rsidRPr="00BE064F" w:rsidRDefault="00BE064F" w:rsidP="00BE064F">
      <w:pPr>
        <w:pStyle w:val="HolmdelIndentA0"/>
        <w:rPr>
          <w:rFonts w:ascii="Arial" w:hAnsi="Arial" w:cs="Arial"/>
          <w:sz w:val="22"/>
          <w:szCs w:val="22"/>
        </w:rPr>
      </w:pPr>
      <w:r w:rsidRPr="00BE064F">
        <w:rPr>
          <w:rFonts w:ascii="Arial" w:hAnsi="Arial" w:cs="Arial"/>
          <w:sz w:val="22"/>
          <w:szCs w:val="22"/>
        </w:rPr>
        <w:t>D.</w:t>
      </w:r>
      <w:r w:rsidRPr="00BE064F">
        <w:rPr>
          <w:rFonts w:ascii="Arial" w:hAnsi="Arial" w:cs="Arial"/>
          <w:sz w:val="22"/>
          <w:szCs w:val="22"/>
        </w:rPr>
        <w:tab/>
        <w:t>Minimum lot size. (See Article IV)</w:t>
      </w:r>
    </w:p>
    <w:p w:rsidR="00BE064F" w:rsidRPr="00BE064F" w:rsidRDefault="00BE064F" w:rsidP="00BE064F">
      <w:pPr>
        <w:pStyle w:val="HolmdelIndent1"/>
        <w:rPr>
          <w:rFonts w:ascii="Arial" w:hAnsi="Arial" w:cs="Arial"/>
          <w:sz w:val="22"/>
          <w:szCs w:val="22"/>
        </w:rPr>
      </w:pPr>
      <w:r w:rsidRPr="00BE064F">
        <w:rPr>
          <w:rFonts w:ascii="Arial" w:hAnsi="Arial" w:cs="Arial"/>
          <w:sz w:val="22"/>
          <w:szCs w:val="22"/>
        </w:rPr>
        <w:tab/>
        <w:t>(1)</w:t>
      </w:r>
      <w:r w:rsidRPr="00BE064F">
        <w:rPr>
          <w:rFonts w:ascii="Arial" w:hAnsi="Arial" w:cs="Arial"/>
          <w:sz w:val="22"/>
          <w:szCs w:val="22"/>
        </w:rPr>
        <w:tab/>
        <w:t>Minimum lot area: five thousand (5,000) square feet.</w:t>
      </w:r>
    </w:p>
    <w:p w:rsidR="00BE064F" w:rsidRPr="00BE064F" w:rsidRDefault="00BE064F" w:rsidP="00BE064F">
      <w:pPr>
        <w:pStyle w:val="HolmdelIndent1"/>
        <w:rPr>
          <w:rFonts w:ascii="Arial" w:hAnsi="Arial" w:cs="Arial"/>
          <w:sz w:val="22"/>
          <w:szCs w:val="22"/>
        </w:rPr>
      </w:pPr>
      <w:r w:rsidRPr="00BE064F">
        <w:rPr>
          <w:rFonts w:ascii="Arial" w:hAnsi="Arial" w:cs="Arial"/>
          <w:sz w:val="22"/>
          <w:szCs w:val="22"/>
        </w:rPr>
        <w:tab/>
        <w:t>(2)</w:t>
      </w:r>
      <w:r w:rsidRPr="00BE064F">
        <w:rPr>
          <w:rFonts w:ascii="Arial" w:hAnsi="Arial" w:cs="Arial"/>
          <w:sz w:val="22"/>
          <w:szCs w:val="22"/>
        </w:rPr>
        <w:tab/>
        <w:t>Minimum lot frontage: none.</w:t>
      </w:r>
    </w:p>
    <w:p w:rsidR="00BE064F" w:rsidRPr="00BE064F" w:rsidRDefault="00BE064F" w:rsidP="00BE064F">
      <w:pPr>
        <w:pStyle w:val="HolmdelIndent1"/>
        <w:rPr>
          <w:rFonts w:ascii="Arial" w:hAnsi="Arial" w:cs="Arial"/>
          <w:sz w:val="22"/>
          <w:szCs w:val="22"/>
        </w:rPr>
      </w:pPr>
      <w:r w:rsidRPr="00BE064F">
        <w:rPr>
          <w:rFonts w:ascii="Arial" w:hAnsi="Arial" w:cs="Arial"/>
          <w:sz w:val="22"/>
          <w:szCs w:val="22"/>
        </w:rPr>
        <w:tab/>
        <w:t>(3)</w:t>
      </w:r>
      <w:r w:rsidRPr="00BE064F">
        <w:rPr>
          <w:rFonts w:ascii="Arial" w:hAnsi="Arial" w:cs="Arial"/>
          <w:sz w:val="22"/>
          <w:szCs w:val="22"/>
        </w:rPr>
        <w:tab/>
        <w:t>Minimum lot depth: none.</w:t>
      </w:r>
    </w:p>
    <w:p w:rsidR="00BE064F" w:rsidRPr="00BE064F" w:rsidRDefault="00BE064F" w:rsidP="00BE064F">
      <w:pPr>
        <w:pStyle w:val="HolmdelIndentA0"/>
        <w:rPr>
          <w:rFonts w:ascii="Arial" w:hAnsi="Arial" w:cs="Arial"/>
          <w:sz w:val="22"/>
          <w:szCs w:val="22"/>
        </w:rPr>
      </w:pPr>
      <w:r w:rsidRPr="00BE064F">
        <w:rPr>
          <w:rFonts w:ascii="Arial" w:hAnsi="Arial" w:cs="Arial"/>
          <w:sz w:val="22"/>
          <w:szCs w:val="22"/>
        </w:rPr>
        <w:t>E.</w:t>
      </w:r>
      <w:r w:rsidRPr="00BE064F">
        <w:rPr>
          <w:rFonts w:ascii="Arial" w:hAnsi="Arial" w:cs="Arial"/>
          <w:sz w:val="22"/>
          <w:szCs w:val="22"/>
        </w:rPr>
        <w:tab/>
        <w:t>Yards and lot coverage. Minimum yard dimensions for principal structures shall be as follows. (See Article IV and § 92-14.)</w:t>
      </w:r>
    </w:p>
    <w:p w:rsidR="00BE064F" w:rsidRPr="00BE064F" w:rsidRDefault="00BE064F" w:rsidP="00BE064F">
      <w:pPr>
        <w:pStyle w:val="HolmdelIndent1"/>
        <w:rPr>
          <w:rFonts w:ascii="Arial" w:hAnsi="Arial" w:cs="Arial"/>
          <w:sz w:val="22"/>
          <w:szCs w:val="22"/>
        </w:rPr>
      </w:pPr>
      <w:r w:rsidRPr="00BE064F">
        <w:rPr>
          <w:rFonts w:ascii="Arial" w:hAnsi="Arial" w:cs="Arial"/>
          <w:sz w:val="22"/>
          <w:szCs w:val="22"/>
        </w:rPr>
        <w:tab/>
        <w:t>(1)</w:t>
      </w:r>
      <w:r w:rsidRPr="00BE064F">
        <w:rPr>
          <w:rFonts w:ascii="Arial" w:hAnsi="Arial" w:cs="Arial"/>
          <w:sz w:val="22"/>
          <w:szCs w:val="22"/>
        </w:rPr>
        <w:tab/>
        <w:t>Front yard: none.</w:t>
      </w:r>
    </w:p>
    <w:p w:rsidR="00BE064F" w:rsidRPr="00BE064F" w:rsidRDefault="00BE064F" w:rsidP="00BE064F">
      <w:pPr>
        <w:pStyle w:val="HolmdelIndent1"/>
        <w:rPr>
          <w:rFonts w:ascii="Arial" w:hAnsi="Arial" w:cs="Arial"/>
          <w:sz w:val="22"/>
          <w:szCs w:val="22"/>
        </w:rPr>
      </w:pPr>
      <w:r w:rsidRPr="00BE064F">
        <w:rPr>
          <w:rFonts w:ascii="Arial" w:hAnsi="Arial" w:cs="Arial"/>
          <w:sz w:val="22"/>
          <w:szCs w:val="22"/>
        </w:rPr>
        <w:tab/>
        <w:t>(2)</w:t>
      </w:r>
      <w:r w:rsidRPr="00BE064F">
        <w:rPr>
          <w:rFonts w:ascii="Arial" w:hAnsi="Arial" w:cs="Arial"/>
          <w:sz w:val="22"/>
          <w:szCs w:val="22"/>
        </w:rPr>
        <w:tab/>
        <w:t>Side yard: All B-1 Zone uses may be built without side yards, except that where the B-1 Zone adjoins a residence district there shall be a minimum side yard of ten (10) feet.</w:t>
      </w:r>
    </w:p>
    <w:p w:rsidR="00BE064F" w:rsidRPr="00BE064F" w:rsidRDefault="00BE064F" w:rsidP="00BE064F">
      <w:pPr>
        <w:pStyle w:val="HolmdelIndent1"/>
        <w:rPr>
          <w:rFonts w:ascii="Arial" w:hAnsi="Arial" w:cs="Arial"/>
          <w:sz w:val="22"/>
          <w:szCs w:val="22"/>
        </w:rPr>
      </w:pPr>
      <w:r w:rsidRPr="00BE064F">
        <w:rPr>
          <w:rFonts w:ascii="Arial" w:hAnsi="Arial" w:cs="Arial"/>
          <w:sz w:val="22"/>
          <w:szCs w:val="22"/>
        </w:rPr>
        <w:tab/>
        <w:t>(3)</w:t>
      </w:r>
      <w:r w:rsidRPr="00BE064F">
        <w:rPr>
          <w:rFonts w:ascii="Arial" w:hAnsi="Arial" w:cs="Arial"/>
          <w:sz w:val="22"/>
          <w:szCs w:val="22"/>
        </w:rPr>
        <w:tab/>
        <w:t>Rear yard: ten (10) feet.</w:t>
      </w:r>
    </w:p>
    <w:p w:rsidR="00BE064F" w:rsidRPr="00BE064F" w:rsidRDefault="00BE064F" w:rsidP="00BE064F">
      <w:pPr>
        <w:pStyle w:val="HolmdelIndentA0"/>
        <w:rPr>
          <w:rFonts w:ascii="Arial" w:hAnsi="Arial" w:cs="Arial"/>
          <w:sz w:val="22"/>
          <w:szCs w:val="22"/>
        </w:rPr>
      </w:pPr>
      <w:r w:rsidRPr="00BE064F">
        <w:rPr>
          <w:rFonts w:ascii="Arial" w:hAnsi="Arial" w:cs="Arial"/>
          <w:sz w:val="22"/>
          <w:szCs w:val="22"/>
        </w:rPr>
        <w:t>F.</w:t>
      </w:r>
      <w:r w:rsidRPr="00BE064F">
        <w:rPr>
          <w:rFonts w:ascii="Arial" w:hAnsi="Arial" w:cs="Arial"/>
          <w:sz w:val="22"/>
          <w:szCs w:val="22"/>
        </w:rPr>
        <w:tab/>
        <w:t xml:space="preserve">Maximum improved lot coverage: exempt. (Ord. No 2-2006) </w:t>
      </w:r>
    </w:p>
    <w:p w:rsidR="00BE064F" w:rsidRPr="00BE064F" w:rsidRDefault="00BE064F" w:rsidP="00BE064F">
      <w:pPr>
        <w:pStyle w:val="HolmdelIndentA0"/>
        <w:rPr>
          <w:rFonts w:ascii="Arial" w:hAnsi="Arial" w:cs="Arial"/>
          <w:sz w:val="22"/>
          <w:szCs w:val="22"/>
        </w:rPr>
      </w:pPr>
      <w:r w:rsidRPr="00BE064F">
        <w:rPr>
          <w:rFonts w:ascii="Arial" w:hAnsi="Arial" w:cs="Arial"/>
          <w:sz w:val="22"/>
          <w:szCs w:val="22"/>
        </w:rPr>
        <w:t>G.</w:t>
      </w:r>
      <w:r w:rsidRPr="00BE064F">
        <w:rPr>
          <w:rFonts w:ascii="Arial" w:hAnsi="Arial" w:cs="Arial"/>
          <w:sz w:val="22"/>
          <w:szCs w:val="22"/>
        </w:rPr>
        <w:tab/>
        <w:t>Maximum building coverage: exempt. (Ord. No 2-2006)</w:t>
      </w:r>
    </w:p>
    <w:p w:rsidR="00BE064F" w:rsidRPr="00BE064F" w:rsidRDefault="00BE064F" w:rsidP="00BE064F">
      <w:pPr>
        <w:pStyle w:val="HolmdelIndentA0"/>
        <w:rPr>
          <w:rFonts w:ascii="Arial" w:hAnsi="Arial" w:cs="Arial"/>
          <w:sz w:val="22"/>
          <w:szCs w:val="22"/>
        </w:rPr>
      </w:pPr>
      <w:r w:rsidRPr="00BE064F">
        <w:rPr>
          <w:rFonts w:ascii="Arial" w:hAnsi="Arial" w:cs="Arial"/>
          <w:sz w:val="22"/>
          <w:szCs w:val="22"/>
        </w:rPr>
        <w:t>H.</w:t>
      </w:r>
      <w:r w:rsidRPr="00BE064F">
        <w:rPr>
          <w:rFonts w:ascii="Arial" w:hAnsi="Arial" w:cs="Arial"/>
          <w:sz w:val="22"/>
          <w:szCs w:val="22"/>
        </w:rPr>
        <w:tab/>
        <w:t>Maximum building height for principal structures. (See Article IV)</w:t>
      </w:r>
    </w:p>
    <w:p w:rsidR="00BE064F" w:rsidRPr="00BE064F" w:rsidRDefault="00BE064F" w:rsidP="00BE064F">
      <w:pPr>
        <w:pStyle w:val="HolmdelIndent1"/>
        <w:rPr>
          <w:rFonts w:ascii="Arial" w:hAnsi="Arial" w:cs="Arial"/>
          <w:sz w:val="22"/>
          <w:szCs w:val="22"/>
        </w:rPr>
      </w:pPr>
      <w:r w:rsidRPr="00BE064F">
        <w:rPr>
          <w:rFonts w:ascii="Arial" w:hAnsi="Arial" w:cs="Arial"/>
          <w:sz w:val="22"/>
          <w:szCs w:val="22"/>
        </w:rPr>
        <w:tab/>
        <w:t>(1)</w:t>
      </w:r>
      <w:r w:rsidRPr="00BE064F">
        <w:rPr>
          <w:rFonts w:ascii="Arial" w:hAnsi="Arial" w:cs="Arial"/>
          <w:sz w:val="22"/>
          <w:szCs w:val="22"/>
        </w:rPr>
        <w:tab/>
        <w:t>Feet: thirty (30).</w:t>
      </w:r>
    </w:p>
    <w:p w:rsidR="00BE064F" w:rsidRPr="00BE064F" w:rsidRDefault="00BE064F" w:rsidP="00BE064F">
      <w:pPr>
        <w:pStyle w:val="HolmdelIndent1"/>
        <w:rPr>
          <w:rFonts w:ascii="Arial" w:hAnsi="Arial" w:cs="Arial"/>
          <w:sz w:val="22"/>
          <w:szCs w:val="22"/>
        </w:rPr>
      </w:pPr>
      <w:r w:rsidRPr="00BE064F">
        <w:rPr>
          <w:rFonts w:ascii="Arial" w:hAnsi="Arial" w:cs="Arial"/>
          <w:sz w:val="22"/>
          <w:szCs w:val="22"/>
        </w:rPr>
        <w:tab/>
        <w:t>(2)</w:t>
      </w:r>
      <w:r w:rsidRPr="00BE064F">
        <w:rPr>
          <w:rFonts w:ascii="Arial" w:hAnsi="Arial" w:cs="Arial"/>
          <w:sz w:val="22"/>
          <w:szCs w:val="22"/>
        </w:rPr>
        <w:tab/>
        <w:t>Stories: two (2).</w:t>
      </w:r>
    </w:p>
    <w:p w:rsidR="00BE064F" w:rsidRPr="00BE064F" w:rsidRDefault="00BE064F" w:rsidP="00BE064F">
      <w:pPr>
        <w:pStyle w:val="HolmdelIndentA0"/>
        <w:spacing w:after="0"/>
        <w:rPr>
          <w:rFonts w:ascii="Arial" w:hAnsi="Arial" w:cs="Arial"/>
          <w:sz w:val="22"/>
          <w:szCs w:val="22"/>
        </w:rPr>
      </w:pPr>
      <w:r w:rsidRPr="00BE064F">
        <w:rPr>
          <w:rFonts w:ascii="Arial" w:hAnsi="Arial" w:cs="Arial"/>
          <w:sz w:val="22"/>
          <w:szCs w:val="22"/>
        </w:rPr>
        <w:t>I.</w:t>
      </w:r>
      <w:r w:rsidRPr="00BE064F">
        <w:rPr>
          <w:rFonts w:ascii="Arial" w:hAnsi="Arial" w:cs="Arial"/>
          <w:sz w:val="22"/>
          <w:szCs w:val="22"/>
        </w:rPr>
        <w:tab/>
        <w:t xml:space="preserve">Required parking and loading spaces. Also see § 92-22A to </w:t>
      </w:r>
      <w:proofErr w:type="gramStart"/>
      <w:r w:rsidRPr="00BE064F">
        <w:rPr>
          <w:rFonts w:ascii="Arial" w:hAnsi="Arial" w:cs="Arial"/>
          <w:sz w:val="22"/>
          <w:szCs w:val="22"/>
        </w:rPr>
        <w:t>D(</w:t>
      </w:r>
      <w:proofErr w:type="gramEnd"/>
      <w:r w:rsidRPr="00BE064F">
        <w:rPr>
          <w:rFonts w:ascii="Arial" w:hAnsi="Arial" w:cs="Arial"/>
          <w:sz w:val="22"/>
          <w:szCs w:val="22"/>
        </w:rPr>
        <w:t>5). (Amended 7-23-2013 by Ord. No. 22-2013)</w:t>
      </w:r>
    </w:p>
    <w:p w:rsidR="00BE064F" w:rsidRPr="00BE064F" w:rsidRDefault="00BE064F" w:rsidP="00BE064F">
      <w:pPr>
        <w:pStyle w:val="HolmdelIndentA0"/>
        <w:spacing w:after="0"/>
        <w:rPr>
          <w:rFonts w:ascii="Arial" w:hAnsi="Arial" w:cs="Arial"/>
          <w:sz w:val="22"/>
          <w:szCs w:val="22"/>
        </w:rPr>
      </w:pPr>
    </w:p>
    <w:p w:rsidR="00BE064F" w:rsidRPr="00BE064F" w:rsidRDefault="00BE064F" w:rsidP="00BE064F">
      <w:pPr>
        <w:pStyle w:val="HolmdelFormat8"/>
        <w:ind w:left="450"/>
        <w:jc w:val="center"/>
        <w:rPr>
          <w:rFonts w:ascii="Arial" w:hAnsi="Arial" w:cs="Arial"/>
          <w:b/>
          <w:sz w:val="22"/>
          <w:szCs w:val="22"/>
        </w:rPr>
      </w:pPr>
      <w:r w:rsidRPr="00BE064F">
        <w:rPr>
          <w:rFonts w:ascii="Arial" w:hAnsi="Arial" w:cs="Arial"/>
          <w:b/>
          <w:sz w:val="22"/>
          <w:szCs w:val="22"/>
        </w:rPr>
        <w:t>B-1 Zone On-Street/Off-Street Parking and Off-Street Loading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5"/>
        <w:gridCol w:w="4233"/>
      </w:tblGrid>
      <w:tr w:rsidR="00BE064F" w:rsidRPr="00BE064F" w:rsidTr="00BE064F">
        <w:tc>
          <w:tcPr>
            <w:tcW w:w="3885" w:type="dxa"/>
            <w:tcBorders>
              <w:top w:val="single" w:sz="4" w:space="0" w:color="auto"/>
              <w:left w:val="single" w:sz="4" w:space="0" w:color="auto"/>
              <w:bottom w:val="single" w:sz="4" w:space="0" w:color="auto"/>
              <w:right w:val="single" w:sz="4" w:space="0" w:color="auto"/>
            </w:tcBorders>
            <w:hideMark/>
          </w:tcPr>
          <w:p w:rsidR="00BE064F" w:rsidRPr="00BE064F" w:rsidRDefault="00BE064F">
            <w:pPr>
              <w:pStyle w:val="HolmdelFormat"/>
              <w:spacing w:before="20" w:after="120" w:line="240" w:lineRule="atLeast"/>
              <w:ind w:left="450"/>
              <w:rPr>
                <w:rFonts w:ascii="Arial" w:eastAsiaTheme="minorEastAsia" w:hAnsi="Arial" w:cs="Arial"/>
                <w:b/>
                <w:sz w:val="22"/>
                <w:szCs w:val="22"/>
              </w:rPr>
            </w:pPr>
            <w:r w:rsidRPr="00BE064F">
              <w:rPr>
                <w:rFonts w:ascii="Arial" w:hAnsi="Arial" w:cs="Arial"/>
                <w:b/>
                <w:sz w:val="22"/>
                <w:szCs w:val="22"/>
              </w:rPr>
              <w:t>Use</w:t>
            </w:r>
          </w:p>
        </w:tc>
        <w:tc>
          <w:tcPr>
            <w:tcW w:w="4233" w:type="dxa"/>
            <w:tcBorders>
              <w:top w:val="single" w:sz="4" w:space="0" w:color="auto"/>
              <w:left w:val="single" w:sz="4" w:space="0" w:color="auto"/>
              <w:bottom w:val="single" w:sz="4" w:space="0" w:color="auto"/>
              <w:right w:val="single" w:sz="4" w:space="0" w:color="auto"/>
            </w:tcBorders>
            <w:hideMark/>
          </w:tcPr>
          <w:p w:rsidR="00BE064F" w:rsidRPr="00BE064F" w:rsidRDefault="00BE064F">
            <w:pPr>
              <w:pStyle w:val="HolmdelFormat"/>
              <w:spacing w:before="20" w:after="120" w:line="240" w:lineRule="atLeast"/>
              <w:ind w:left="345"/>
              <w:rPr>
                <w:rFonts w:ascii="Arial" w:eastAsiaTheme="minorEastAsia" w:hAnsi="Arial" w:cs="Arial"/>
                <w:b/>
                <w:sz w:val="22"/>
                <w:szCs w:val="22"/>
              </w:rPr>
            </w:pPr>
            <w:r w:rsidRPr="00BE064F">
              <w:rPr>
                <w:rFonts w:ascii="Arial" w:hAnsi="Arial" w:cs="Arial"/>
                <w:b/>
                <w:sz w:val="22"/>
                <w:szCs w:val="22"/>
              </w:rPr>
              <w:t>Minimum Parking</w:t>
            </w:r>
          </w:p>
        </w:tc>
      </w:tr>
      <w:tr w:rsidR="00BE064F" w:rsidRPr="00BE064F" w:rsidTr="00BE064F">
        <w:tc>
          <w:tcPr>
            <w:tcW w:w="3885" w:type="dxa"/>
            <w:tcBorders>
              <w:top w:val="single" w:sz="4" w:space="0" w:color="auto"/>
              <w:left w:val="single" w:sz="4" w:space="0" w:color="auto"/>
              <w:bottom w:val="single" w:sz="4" w:space="0" w:color="auto"/>
              <w:right w:val="single" w:sz="4" w:space="0" w:color="auto"/>
            </w:tcBorders>
            <w:hideMark/>
          </w:tcPr>
          <w:p w:rsidR="00BE064F" w:rsidRPr="00BE064F" w:rsidRDefault="00BE064F">
            <w:pPr>
              <w:pStyle w:val="HolmdelFormat"/>
              <w:spacing w:before="20" w:after="120" w:line="240" w:lineRule="atLeast"/>
              <w:ind w:left="450"/>
              <w:jc w:val="left"/>
              <w:rPr>
                <w:rFonts w:ascii="Arial" w:eastAsiaTheme="minorEastAsia" w:hAnsi="Arial" w:cs="Arial"/>
                <w:sz w:val="22"/>
                <w:szCs w:val="22"/>
              </w:rPr>
            </w:pPr>
            <w:r w:rsidRPr="00BE064F">
              <w:rPr>
                <w:rFonts w:ascii="Arial" w:hAnsi="Arial" w:cs="Arial"/>
                <w:sz w:val="22"/>
                <w:szCs w:val="22"/>
              </w:rPr>
              <w:t>Funeral homes and mortuaries</w:t>
            </w:r>
          </w:p>
        </w:tc>
        <w:tc>
          <w:tcPr>
            <w:tcW w:w="4233" w:type="dxa"/>
            <w:tcBorders>
              <w:top w:val="single" w:sz="4" w:space="0" w:color="auto"/>
              <w:left w:val="single" w:sz="4" w:space="0" w:color="auto"/>
              <w:bottom w:val="single" w:sz="4" w:space="0" w:color="auto"/>
              <w:right w:val="single" w:sz="4" w:space="0" w:color="auto"/>
            </w:tcBorders>
            <w:hideMark/>
          </w:tcPr>
          <w:p w:rsidR="00BE064F" w:rsidRPr="00BE064F" w:rsidRDefault="00BE064F">
            <w:pPr>
              <w:pStyle w:val="HolmdelFormat"/>
              <w:spacing w:before="20" w:after="120" w:line="240" w:lineRule="atLeast"/>
              <w:ind w:left="345"/>
              <w:jc w:val="left"/>
              <w:rPr>
                <w:rFonts w:ascii="Arial" w:eastAsiaTheme="minorEastAsia" w:hAnsi="Arial" w:cs="Arial"/>
                <w:sz w:val="22"/>
                <w:szCs w:val="22"/>
              </w:rPr>
            </w:pPr>
            <w:r w:rsidRPr="00BE064F">
              <w:rPr>
                <w:rFonts w:ascii="Arial" w:hAnsi="Arial" w:cs="Arial"/>
                <w:sz w:val="22"/>
                <w:szCs w:val="22"/>
              </w:rPr>
              <w:t xml:space="preserve">10 per </w:t>
            </w:r>
            <w:proofErr w:type="spellStart"/>
            <w:r w:rsidRPr="00BE064F">
              <w:rPr>
                <w:rFonts w:ascii="Arial" w:hAnsi="Arial" w:cs="Arial"/>
                <w:sz w:val="22"/>
                <w:szCs w:val="22"/>
              </w:rPr>
              <w:t>palor</w:t>
            </w:r>
            <w:proofErr w:type="spellEnd"/>
            <w:r w:rsidRPr="00BE064F">
              <w:rPr>
                <w:rFonts w:ascii="Arial" w:hAnsi="Arial" w:cs="Arial"/>
                <w:sz w:val="22"/>
                <w:szCs w:val="22"/>
              </w:rPr>
              <w:t>.</w:t>
            </w:r>
          </w:p>
        </w:tc>
      </w:tr>
      <w:tr w:rsidR="00BE064F" w:rsidRPr="00BE064F" w:rsidTr="00BE064F">
        <w:tc>
          <w:tcPr>
            <w:tcW w:w="3885" w:type="dxa"/>
            <w:tcBorders>
              <w:top w:val="single" w:sz="4" w:space="0" w:color="auto"/>
              <w:left w:val="single" w:sz="4" w:space="0" w:color="auto"/>
              <w:bottom w:val="single" w:sz="4" w:space="0" w:color="auto"/>
              <w:right w:val="single" w:sz="4" w:space="0" w:color="auto"/>
            </w:tcBorders>
            <w:hideMark/>
          </w:tcPr>
          <w:p w:rsidR="00BE064F" w:rsidRPr="00BE064F" w:rsidRDefault="00BE064F">
            <w:pPr>
              <w:pStyle w:val="HolmdelFormat"/>
              <w:spacing w:before="20" w:after="120" w:line="240" w:lineRule="atLeast"/>
              <w:ind w:left="450"/>
              <w:jc w:val="left"/>
              <w:rPr>
                <w:rFonts w:ascii="Arial" w:eastAsiaTheme="minorEastAsia" w:hAnsi="Arial" w:cs="Arial"/>
                <w:sz w:val="22"/>
                <w:szCs w:val="22"/>
              </w:rPr>
            </w:pPr>
            <w:r w:rsidRPr="00BE064F">
              <w:rPr>
                <w:rFonts w:ascii="Arial" w:hAnsi="Arial" w:cs="Arial"/>
                <w:sz w:val="22"/>
                <w:szCs w:val="22"/>
              </w:rPr>
              <w:t xml:space="preserve">Retail stores, store groups, shops, consumer services, </w:t>
            </w:r>
            <w:proofErr w:type="spellStart"/>
            <w:r w:rsidRPr="00BE064F">
              <w:rPr>
                <w:rFonts w:ascii="Arial" w:hAnsi="Arial" w:cs="Arial"/>
                <w:sz w:val="22"/>
                <w:szCs w:val="22"/>
              </w:rPr>
              <w:t>take out</w:t>
            </w:r>
            <w:proofErr w:type="spellEnd"/>
            <w:r w:rsidRPr="00BE064F">
              <w:rPr>
                <w:rFonts w:ascii="Arial" w:hAnsi="Arial" w:cs="Arial"/>
                <w:sz w:val="22"/>
                <w:szCs w:val="22"/>
              </w:rPr>
              <w:t xml:space="preserve"> food only, etc.</w:t>
            </w:r>
          </w:p>
        </w:tc>
        <w:tc>
          <w:tcPr>
            <w:tcW w:w="4233" w:type="dxa"/>
            <w:tcBorders>
              <w:top w:val="single" w:sz="4" w:space="0" w:color="auto"/>
              <w:left w:val="single" w:sz="4" w:space="0" w:color="auto"/>
              <w:bottom w:val="single" w:sz="4" w:space="0" w:color="auto"/>
              <w:right w:val="single" w:sz="4" w:space="0" w:color="auto"/>
            </w:tcBorders>
            <w:hideMark/>
          </w:tcPr>
          <w:p w:rsidR="00BE064F" w:rsidRPr="00BE064F" w:rsidRDefault="00BE064F">
            <w:pPr>
              <w:pStyle w:val="HolmdelFormat"/>
              <w:spacing w:before="20" w:line="240" w:lineRule="atLeast"/>
              <w:ind w:left="345"/>
              <w:jc w:val="left"/>
              <w:rPr>
                <w:rFonts w:ascii="Arial" w:eastAsiaTheme="minorEastAsia" w:hAnsi="Arial" w:cs="Arial"/>
                <w:sz w:val="22"/>
                <w:szCs w:val="22"/>
              </w:rPr>
            </w:pPr>
            <w:r w:rsidRPr="00BE064F">
              <w:rPr>
                <w:rFonts w:ascii="Arial" w:hAnsi="Arial" w:cs="Arial"/>
                <w:sz w:val="22"/>
                <w:szCs w:val="22"/>
              </w:rPr>
              <w:t>1 for each 300 sf of floor area.</w:t>
            </w:r>
          </w:p>
          <w:p w:rsidR="00BE064F" w:rsidRPr="00BE064F" w:rsidRDefault="00BE064F">
            <w:pPr>
              <w:pStyle w:val="HolmdelFormat"/>
              <w:spacing w:after="120" w:line="240" w:lineRule="atLeast"/>
              <w:ind w:left="345"/>
              <w:jc w:val="left"/>
              <w:rPr>
                <w:rFonts w:ascii="Arial" w:eastAsiaTheme="minorEastAsia" w:hAnsi="Arial" w:cs="Arial"/>
                <w:sz w:val="22"/>
                <w:szCs w:val="22"/>
              </w:rPr>
            </w:pPr>
            <w:r w:rsidRPr="00BE064F">
              <w:rPr>
                <w:rFonts w:ascii="Arial" w:hAnsi="Arial" w:cs="Arial"/>
                <w:sz w:val="22"/>
                <w:szCs w:val="22"/>
              </w:rPr>
              <w:t>Minimum 3 spaces.</w:t>
            </w:r>
          </w:p>
        </w:tc>
      </w:tr>
      <w:tr w:rsidR="00BE064F" w:rsidRPr="00BE064F" w:rsidTr="00BE064F">
        <w:tc>
          <w:tcPr>
            <w:tcW w:w="3885" w:type="dxa"/>
            <w:tcBorders>
              <w:top w:val="single" w:sz="4" w:space="0" w:color="auto"/>
              <w:left w:val="single" w:sz="4" w:space="0" w:color="auto"/>
              <w:bottom w:val="single" w:sz="4" w:space="0" w:color="auto"/>
              <w:right w:val="single" w:sz="4" w:space="0" w:color="auto"/>
            </w:tcBorders>
            <w:hideMark/>
          </w:tcPr>
          <w:p w:rsidR="00BE064F" w:rsidRPr="00BE064F" w:rsidRDefault="00BE064F">
            <w:pPr>
              <w:pStyle w:val="HolmdelFormat"/>
              <w:spacing w:before="20" w:after="120" w:line="240" w:lineRule="atLeast"/>
              <w:ind w:left="450"/>
              <w:jc w:val="left"/>
              <w:rPr>
                <w:rFonts w:ascii="Arial" w:eastAsiaTheme="minorEastAsia" w:hAnsi="Arial" w:cs="Arial"/>
                <w:sz w:val="22"/>
                <w:szCs w:val="22"/>
              </w:rPr>
            </w:pPr>
            <w:r w:rsidRPr="00BE064F">
              <w:rPr>
                <w:rFonts w:ascii="Arial" w:hAnsi="Arial" w:cs="Arial"/>
                <w:sz w:val="22"/>
                <w:szCs w:val="22"/>
              </w:rPr>
              <w:t>Eating/drinking establishments</w:t>
            </w:r>
          </w:p>
        </w:tc>
        <w:tc>
          <w:tcPr>
            <w:tcW w:w="4233" w:type="dxa"/>
            <w:tcBorders>
              <w:top w:val="single" w:sz="4" w:space="0" w:color="auto"/>
              <w:left w:val="single" w:sz="4" w:space="0" w:color="auto"/>
              <w:bottom w:val="single" w:sz="4" w:space="0" w:color="auto"/>
              <w:right w:val="single" w:sz="4" w:space="0" w:color="auto"/>
            </w:tcBorders>
            <w:hideMark/>
          </w:tcPr>
          <w:p w:rsidR="00BE064F" w:rsidRPr="00BE064F" w:rsidRDefault="00BE064F">
            <w:pPr>
              <w:pStyle w:val="HolmdelFormat"/>
              <w:spacing w:before="20" w:after="120" w:line="240" w:lineRule="atLeast"/>
              <w:ind w:left="345"/>
              <w:jc w:val="left"/>
              <w:rPr>
                <w:rFonts w:ascii="Arial" w:eastAsiaTheme="minorEastAsia" w:hAnsi="Arial" w:cs="Arial"/>
                <w:sz w:val="22"/>
                <w:szCs w:val="22"/>
              </w:rPr>
            </w:pPr>
            <w:r w:rsidRPr="00BE064F">
              <w:rPr>
                <w:rFonts w:ascii="Arial" w:hAnsi="Arial" w:cs="Arial"/>
                <w:sz w:val="22"/>
                <w:szCs w:val="22"/>
              </w:rPr>
              <w:t>1 for each 3 seats. Minimum 5 spaces.</w:t>
            </w:r>
          </w:p>
        </w:tc>
      </w:tr>
      <w:tr w:rsidR="00BE064F" w:rsidRPr="00BE064F" w:rsidTr="00BE064F">
        <w:tc>
          <w:tcPr>
            <w:tcW w:w="3885" w:type="dxa"/>
            <w:tcBorders>
              <w:top w:val="single" w:sz="4" w:space="0" w:color="auto"/>
              <w:left w:val="single" w:sz="4" w:space="0" w:color="auto"/>
              <w:bottom w:val="single" w:sz="4" w:space="0" w:color="auto"/>
              <w:right w:val="single" w:sz="4" w:space="0" w:color="auto"/>
            </w:tcBorders>
            <w:hideMark/>
          </w:tcPr>
          <w:p w:rsidR="00BE064F" w:rsidRPr="00BE064F" w:rsidRDefault="00BE064F">
            <w:pPr>
              <w:pStyle w:val="HolmdelFormat"/>
              <w:spacing w:before="20" w:after="120" w:line="240" w:lineRule="atLeast"/>
              <w:ind w:left="450"/>
              <w:jc w:val="left"/>
              <w:rPr>
                <w:rFonts w:ascii="Arial" w:eastAsiaTheme="minorEastAsia" w:hAnsi="Arial" w:cs="Arial"/>
                <w:sz w:val="22"/>
                <w:szCs w:val="22"/>
              </w:rPr>
            </w:pPr>
            <w:r w:rsidRPr="00BE064F">
              <w:rPr>
                <w:rFonts w:ascii="Arial" w:hAnsi="Arial" w:cs="Arial"/>
                <w:sz w:val="22"/>
                <w:szCs w:val="22"/>
              </w:rPr>
              <w:t>Medical or dental offices, and other professional offices</w:t>
            </w:r>
          </w:p>
        </w:tc>
        <w:tc>
          <w:tcPr>
            <w:tcW w:w="4233" w:type="dxa"/>
            <w:tcBorders>
              <w:top w:val="single" w:sz="4" w:space="0" w:color="auto"/>
              <w:left w:val="single" w:sz="4" w:space="0" w:color="auto"/>
              <w:bottom w:val="single" w:sz="4" w:space="0" w:color="auto"/>
              <w:right w:val="single" w:sz="4" w:space="0" w:color="auto"/>
            </w:tcBorders>
            <w:hideMark/>
          </w:tcPr>
          <w:p w:rsidR="00BE064F" w:rsidRPr="00BE064F" w:rsidRDefault="00BE064F">
            <w:pPr>
              <w:pStyle w:val="HolmdelFormat"/>
              <w:spacing w:before="20" w:after="120" w:line="240" w:lineRule="atLeast"/>
              <w:ind w:left="345"/>
              <w:jc w:val="left"/>
              <w:rPr>
                <w:rFonts w:ascii="Arial" w:eastAsiaTheme="minorEastAsia" w:hAnsi="Arial" w:cs="Arial"/>
                <w:sz w:val="22"/>
                <w:szCs w:val="22"/>
              </w:rPr>
            </w:pPr>
            <w:r w:rsidRPr="00BE064F">
              <w:rPr>
                <w:rFonts w:ascii="Arial" w:hAnsi="Arial" w:cs="Arial"/>
                <w:sz w:val="22"/>
                <w:szCs w:val="22"/>
              </w:rPr>
              <w:t>4 for each professional occupant.</w:t>
            </w:r>
          </w:p>
        </w:tc>
      </w:tr>
      <w:tr w:rsidR="00BE064F" w:rsidRPr="00BE064F" w:rsidTr="00BE064F">
        <w:tc>
          <w:tcPr>
            <w:tcW w:w="3885" w:type="dxa"/>
            <w:tcBorders>
              <w:top w:val="single" w:sz="4" w:space="0" w:color="auto"/>
              <w:left w:val="single" w:sz="4" w:space="0" w:color="auto"/>
              <w:bottom w:val="single" w:sz="4" w:space="0" w:color="auto"/>
              <w:right w:val="single" w:sz="4" w:space="0" w:color="auto"/>
            </w:tcBorders>
            <w:hideMark/>
          </w:tcPr>
          <w:p w:rsidR="00BE064F" w:rsidRPr="00BE064F" w:rsidRDefault="00BE064F">
            <w:pPr>
              <w:pStyle w:val="HolmdelFormat"/>
              <w:spacing w:before="20" w:after="120" w:line="240" w:lineRule="atLeast"/>
              <w:ind w:left="450"/>
              <w:jc w:val="left"/>
              <w:rPr>
                <w:rFonts w:ascii="Arial" w:eastAsiaTheme="minorEastAsia" w:hAnsi="Arial" w:cs="Arial"/>
                <w:sz w:val="22"/>
                <w:szCs w:val="22"/>
              </w:rPr>
            </w:pPr>
            <w:r w:rsidRPr="00BE064F">
              <w:rPr>
                <w:rFonts w:ascii="Arial" w:hAnsi="Arial" w:cs="Arial"/>
                <w:sz w:val="22"/>
                <w:szCs w:val="22"/>
              </w:rPr>
              <w:t>General business office</w:t>
            </w:r>
          </w:p>
        </w:tc>
        <w:tc>
          <w:tcPr>
            <w:tcW w:w="4233" w:type="dxa"/>
            <w:tcBorders>
              <w:top w:val="single" w:sz="4" w:space="0" w:color="auto"/>
              <w:left w:val="single" w:sz="4" w:space="0" w:color="auto"/>
              <w:bottom w:val="single" w:sz="4" w:space="0" w:color="auto"/>
              <w:right w:val="single" w:sz="4" w:space="0" w:color="auto"/>
            </w:tcBorders>
            <w:hideMark/>
          </w:tcPr>
          <w:p w:rsidR="00BE064F" w:rsidRPr="00BE064F" w:rsidRDefault="00BE064F">
            <w:pPr>
              <w:pStyle w:val="HolmdelFormat"/>
              <w:spacing w:before="20" w:after="120" w:line="240" w:lineRule="atLeast"/>
              <w:ind w:left="345"/>
              <w:jc w:val="left"/>
              <w:rPr>
                <w:rFonts w:ascii="Arial" w:eastAsiaTheme="minorEastAsia" w:hAnsi="Arial" w:cs="Arial"/>
                <w:sz w:val="22"/>
                <w:szCs w:val="22"/>
              </w:rPr>
            </w:pPr>
            <w:r w:rsidRPr="00BE064F">
              <w:rPr>
                <w:rFonts w:ascii="Arial" w:hAnsi="Arial" w:cs="Arial"/>
                <w:sz w:val="22"/>
                <w:szCs w:val="22"/>
              </w:rPr>
              <w:t>1 for each 300 sf of floor area.</w:t>
            </w:r>
          </w:p>
        </w:tc>
      </w:tr>
      <w:tr w:rsidR="00BE064F" w:rsidRPr="00BE064F" w:rsidTr="00BE064F">
        <w:tc>
          <w:tcPr>
            <w:tcW w:w="3885" w:type="dxa"/>
            <w:tcBorders>
              <w:top w:val="single" w:sz="4" w:space="0" w:color="auto"/>
              <w:left w:val="single" w:sz="4" w:space="0" w:color="auto"/>
              <w:bottom w:val="single" w:sz="4" w:space="0" w:color="auto"/>
              <w:right w:val="single" w:sz="4" w:space="0" w:color="auto"/>
            </w:tcBorders>
            <w:hideMark/>
          </w:tcPr>
          <w:p w:rsidR="00BE064F" w:rsidRPr="00BE064F" w:rsidRDefault="00BE064F">
            <w:pPr>
              <w:pStyle w:val="HolmdelFormat"/>
              <w:spacing w:before="20" w:after="120" w:line="240" w:lineRule="atLeast"/>
              <w:ind w:left="450"/>
              <w:jc w:val="left"/>
              <w:rPr>
                <w:rFonts w:ascii="Arial" w:eastAsiaTheme="minorEastAsia" w:hAnsi="Arial" w:cs="Arial"/>
                <w:sz w:val="22"/>
                <w:szCs w:val="22"/>
              </w:rPr>
            </w:pPr>
            <w:r w:rsidRPr="00BE064F">
              <w:rPr>
                <w:rFonts w:ascii="Arial" w:hAnsi="Arial" w:cs="Arial"/>
                <w:sz w:val="22"/>
                <w:szCs w:val="22"/>
              </w:rPr>
              <w:t>Hotels and motels</w:t>
            </w:r>
          </w:p>
        </w:tc>
        <w:tc>
          <w:tcPr>
            <w:tcW w:w="4233" w:type="dxa"/>
            <w:tcBorders>
              <w:top w:val="single" w:sz="4" w:space="0" w:color="auto"/>
              <w:left w:val="single" w:sz="4" w:space="0" w:color="auto"/>
              <w:bottom w:val="single" w:sz="4" w:space="0" w:color="auto"/>
              <w:right w:val="single" w:sz="4" w:space="0" w:color="auto"/>
            </w:tcBorders>
            <w:hideMark/>
          </w:tcPr>
          <w:p w:rsidR="00BE064F" w:rsidRPr="00BE064F" w:rsidRDefault="00BE064F">
            <w:pPr>
              <w:pStyle w:val="HolmdelFormat"/>
              <w:spacing w:before="20" w:after="120" w:line="240" w:lineRule="atLeast"/>
              <w:ind w:left="345"/>
              <w:jc w:val="left"/>
              <w:rPr>
                <w:rFonts w:ascii="Arial" w:eastAsiaTheme="minorEastAsia" w:hAnsi="Arial" w:cs="Arial"/>
                <w:sz w:val="22"/>
                <w:szCs w:val="22"/>
              </w:rPr>
            </w:pPr>
            <w:r w:rsidRPr="00BE064F">
              <w:rPr>
                <w:rFonts w:ascii="Arial" w:hAnsi="Arial" w:cs="Arial"/>
                <w:sz w:val="22"/>
                <w:szCs w:val="22"/>
              </w:rPr>
              <w:t>1 per bedroom, plus 0.5 per employee on the highest shift.</w:t>
            </w:r>
          </w:p>
        </w:tc>
      </w:tr>
      <w:tr w:rsidR="00BE064F" w:rsidRPr="00BE064F" w:rsidTr="00BE064F">
        <w:tc>
          <w:tcPr>
            <w:tcW w:w="3885" w:type="dxa"/>
            <w:tcBorders>
              <w:top w:val="single" w:sz="4" w:space="0" w:color="auto"/>
              <w:left w:val="single" w:sz="4" w:space="0" w:color="auto"/>
              <w:bottom w:val="single" w:sz="4" w:space="0" w:color="auto"/>
              <w:right w:val="single" w:sz="4" w:space="0" w:color="auto"/>
            </w:tcBorders>
          </w:tcPr>
          <w:p w:rsidR="00BE064F" w:rsidRPr="00BE064F" w:rsidRDefault="00BE064F">
            <w:pPr>
              <w:pStyle w:val="HolmdelFormat"/>
              <w:spacing w:before="20" w:after="120" w:line="240" w:lineRule="atLeast"/>
              <w:ind w:left="446"/>
              <w:jc w:val="left"/>
              <w:rPr>
                <w:rFonts w:ascii="Arial" w:eastAsiaTheme="minorEastAsia" w:hAnsi="Arial" w:cs="Arial"/>
                <w:sz w:val="22"/>
                <w:szCs w:val="22"/>
              </w:rPr>
            </w:pPr>
          </w:p>
        </w:tc>
        <w:tc>
          <w:tcPr>
            <w:tcW w:w="4233" w:type="dxa"/>
            <w:tcBorders>
              <w:top w:val="single" w:sz="4" w:space="0" w:color="auto"/>
              <w:left w:val="single" w:sz="4" w:space="0" w:color="auto"/>
              <w:bottom w:val="single" w:sz="4" w:space="0" w:color="auto"/>
              <w:right w:val="single" w:sz="4" w:space="0" w:color="auto"/>
            </w:tcBorders>
            <w:hideMark/>
          </w:tcPr>
          <w:p w:rsidR="00BE064F" w:rsidRPr="00BE064F" w:rsidRDefault="00BE064F">
            <w:pPr>
              <w:pStyle w:val="HolmdelFormat"/>
              <w:spacing w:before="20" w:after="120" w:line="240" w:lineRule="atLeast"/>
              <w:ind w:left="345"/>
              <w:jc w:val="left"/>
              <w:rPr>
                <w:rFonts w:ascii="Arial" w:eastAsiaTheme="minorEastAsia" w:hAnsi="Arial" w:cs="Arial"/>
                <w:b/>
                <w:sz w:val="22"/>
                <w:szCs w:val="22"/>
              </w:rPr>
            </w:pPr>
            <w:r w:rsidRPr="00BE064F">
              <w:rPr>
                <w:rFonts w:ascii="Arial" w:hAnsi="Arial" w:cs="Arial"/>
                <w:b/>
                <w:sz w:val="22"/>
                <w:szCs w:val="22"/>
              </w:rPr>
              <w:t>Minimum Loading</w:t>
            </w:r>
          </w:p>
        </w:tc>
      </w:tr>
      <w:tr w:rsidR="00BE064F" w:rsidRPr="00BE064F" w:rsidTr="00BE064F">
        <w:tc>
          <w:tcPr>
            <w:tcW w:w="3885" w:type="dxa"/>
            <w:tcBorders>
              <w:top w:val="single" w:sz="4" w:space="0" w:color="auto"/>
              <w:left w:val="single" w:sz="4" w:space="0" w:color="auto"/>
              <w:bottom w:val="single" w:sz="4" w:space="0" w:color="auto"/>
              <w:right w:val="single" w:sz="4" w:space="0" w:color="auto"/>
            </w:tcBorders>
            <w:hideMark/>
          </w:tcPr>
          <w:p w:rsidR="00BE064F" w:rsidRPr="00BE064F" w:rsidRDefault="00BE064F">
            <w:pPr>
              <w:pStyle w:val="HolmdelFormat"/>
              <w:spacing w:before="20" w:after="120" w:line="240" w:lineRule="atLeast"/>
              <w:ind w:left="450"/>
              <w:jc w:val="left"/>
              <w:rPr>
                <w:rFonts w:ascii="Arial" w:eastAsiaTheme="minorEastAsia" w:hAnsi="Arial" w:cs="Arial"/>
                <w:sz w:val="22"/>
                <w:szCs w:val="22"/>
              </w:rPr>
            </w:pPr>
            <w:r w:rsidRPr="00BE064F">
              <w:rPr>
                <w:rFonts w:ascii="Arial" w:hAnsi="Arial" w:cs="Arial"/>
                <w:sz w:val="22"/>
                <w:szCs w:val="22"/>
              </w:rPr>
              <w:lastRenderedPageBreak/>
              <w:t>Offices</w:t>
            </w:r>
          </w:p>
        </w:tc>
        <w:tc>
          <w:tcPr>
            <w:tcW w:w="4233" w:type="dxa"/>
            <w:tcBorders>
              <w:top w:val="single" w:sz="4" w:space="0" w:color="auto"/>
              <w:left w:val="single" w:sz="4" w:space="0" w:color="auto"/>
              <w:bottom w:val="single" w:sz="4" w:space="0" w:color="auto"/>
              <w:right w:val="single" w:sz="4" w:space="0" w:color="auto"/>
            </w:tcBorders>
            <w:hideMark/>
          </w:tcPr>
          <w:p w:rsidR="00BE064F" w:rsidRPr="00BE064F" w:rsidRDefault="00BE064F">
            <w:pPr>
              <w:pStyle w:val="HolmdelFormat"/>
              <w:spacing w:before="20" w:after="120" w:line="240" w:lineRule="atLeast"/>
              <w:ind w:left="345"/>
              <w:jc w:val="left"/>
              <w:rPr>
                <w:rFonts w:ascii="Arial" w:eastAsiaTheme="minorEastAsia" w:hAnsi="Arial" w:cs="Arial"/>
                <w:sz w:val="22"/>
                <w:szCs w:val="22"/>
              </w:rPr>
            </w:pPr>
            <w:r w:rsidRPr="00BE064F">
              <w:rPr>
                <w:rFonts w:ascii="Arial" w:hAnsi="Arial" w:cs="Arial"/>
                <w:sz w:val="22"/>
                <w:szCs w:val="22"/>
              </w:rPr>
              <w:t>1 per 10,000 sf of floor area.</w:t>
            </w:r>
          </w:p>
        </w:tc>
      </w:tr>
      <w:tr w:rsidR="00BE064F" w:rsidRPr="00BE064F" w:rsidTr="00BE064F">
        <w:tc>
          <w:tcPr>
            <w:tcW w:w="3885" w:type="dxa"/>
            <w:tcBorders>
              <w:top w:val="single" w:sz="4" w:space="0" w:color="auto"/>
              <w:left w:val="single" w:sz="4" w:space="0" w:color="auto"/>
              <w:bottom w:val="single" w:sz="4" w:space="0" w:color="auto"/>
              <w:right w:val="single" w:sz="4" w:space="0" w:color="auto"/>
            </w:tcBorders>
            <w:hideMark/>
          </w:tcPr>
          <w:p w:rsidR="00BE064F" w:rsidRPr="00BE064F" w:rsidRDefault="00BE064F">
            <w:pPr>
              <w:pStyle w:val="HolmdelFormat"/>
              <w:spacing w:before="20" w:after="160" w:line="240" w:lineRule="atLeast"/>
              <w:ind w:left="450"/>
              <w:jc w:val="left"/>
              <w:rPr>
                <w:rFonts w:ascii="Arial" w:eastAsiaTheme="minorEastAsia" w:hAnsi="Arial" w:cs="Arial"/>
                <w:sz w:val="22"/>
                <w:szCs w:val="22"/>
              </w:rPr>
            </w:pPr>
            <w:r w:rsidRPr="00BE064F">
              <w:rPr>
                <w:rFonts w:ascii="Arial" w:hAnsi="Arial" w:cs="Arial"/>
                <w:sz w:val="22"/>
                <w:szCs w:val="22"/>
              </w:rPr>
              <w:t>Retail, commercial, wholesale, manufacturing, storage and miscellaneous uses</w:t>
            </w:r>
          </w:p>
        </w:tc>
        <w:tc>
          <w:tcPr>
            <w:tcW w:w="4233" w:type="dxa"/>
            <w:tcBorders>
              <w:top w:val="single" w:sz="4" w:space="0" w:color="auto"/>
              <w:left w:val="single" w:sz="4" w:space="0" w:color="auto"/>
              <w:bottom w:val="single" w:sz="4" w:space="0" w:color="auto"/>
              <w:right w:val="single" w:sz="4" w:space="0" w:color="auto"/>
            </w:tcBorders>
            <w:hideMark/>
          </w:tcPr>
          <w:p w:rsidR="00BE064F" w:rsidRPr="00BE064F" w:rsidRDefault="00BE064F">
            <w:pPr>
              <w:pStyle w:val="HolmdelFormat"/>
              <w:spacing w:before="20" w:after="60" w:line="200" w:lineRule="atLeast"/>
              <w:ind w:left="345"/>
              <w:jc w:val="left"/>
              <w:rPr>
                <w:rFonts w:ascii="Arial" w:eastAsiaTheme="minorEastAsia" w:hAnsi="Arial" w:cs="Arial"/>
                <w:sz w:val="22"/>
                <w:szCs w:val="22"/>
              </w:rPr>
            </w:pPr>
            <w:r w:rsidRPr="00BE064F">
              <w:rPr>
                <w:rFonts w:ascii="Arial" w:hAnsi="Arial" w:cs="Arial"/>
                <w:sz w:val="22"/>
                <w:szCs w:val="22"/>
              </w:rPr>
              <w:t>1 per 10,000 to 25,000 sf of floor area:   2 for each 25,000 to 40,000 sf of floor area: 3 for 40,000 to 60,000 sf of floor area: 1 for each additional 50,000 sf of floor area or fraction thereof.</w:t>
            </w:r>
          </w:p>
        </w:tc>
      </w:tr>
      <w:tr w:rsidR="00BE064F" w:rsidRPr="00BE064F" w:rsidTr="00BE064F">
        <w:tc>
          <w:tcPr>
            <w:tcW w:w="8118" w:type="dxa"/>
            <w:gridSpan w:val="2"/>
            <w:tcBorders>
              <w:top w:val="single" w:sz="4" w:space="0" w:color="auto"/>
              <w:left w:val="nil"/>
              <w:bottom w:val="single" w:sz="4" w:space="0" w:color="auto"/>
              <w:right w:val="nil"/>
            </w:tcBorders>
            <w:hideMark/>
          </w:tcPr>
          <w:p w:rsidR="00BE064F" w:rsidRPr="00BE064F" w:rsidRDefault="00BE064F">
            <w:pPr>
              <w:pStyle w:val="HolmdelFormat"/>
              <w:spacing w:before="20" w:after="120" w:line="240" w:lineRule="atLeast"/>
              <w:ind w:left="345"/>
              <w:jc w:val="center"/>
              <w:rPr>
                <w:rFonts w:ascii="Arial" w:eastAsiaTheme="minorEastAsia" w:hAnsi="Arial" w:cs="Arial"/>
                <w:b/>
                <w:sz w:val="22"/>
                <w:szCs w:val="22"/>
              </w:rPr>
            </w:pPr>
            <w:r w:rsidRPr="00BE064F">
              <w:rPr>
                <w:rFonts w:ascii="Arial" w:hAnsi="Arial" w:cs="Arial"/>
                <w:b/>
                <w:sz w:val="22"/>
                <w:szCs w:val="22"/>
              </w:rPr>
              <w:t>Minimum Required Parking Use and Loading Spaces</w:t>
            </w:r>
          </w:p>
        </w:tc>
      </w:tr>
      <w:tr w:rsidR="00BE064F" w:rsidRPr="00BE064F" w:rsidTr="00BE064F">
        <w:tc>
          <w:tcPr>
            <w:tcW w:w="3885" w:type="dxa"/>
            <w:tcBorders>
              <w:top w:val="single" w:sz="4" w:space="0" w:color="auto"/>
              <w:left w:val="single" w:sz="4" w:space="0" w:color="auto"/>
              <w:bottom w:val="single" w:sz="4" w:space="0" w:color="auto"/>
              <w:right w:val="single" w:sz="4" w:space="0" w:color="auto"/>
            </w:tcBorders>
            <w:hideMark/>
          </w:tcPr>
          <w:p w:rsidR="00BE064F" w:rsidRPr="00BE064F" w:rsidRDefault="00BE064F">
            <w:pPr>
              <w:pStyle w:val="HolmdelFormat"/>
              <w:spacing w:before="20" w:after="120" w:line="240" w:lineRule="atLeast"/>
              <w:ind w:left="450"/>
              <w:jc w:val="left"/>
              <w:rPr>
                <w:rFonts w:ascii="Arial" w:eastAsiaTheme="minorEastAsia" w:hAnsi="Arial" w:cs="Arial"/>
                <w:sz w:val="22"/>
                <w:szCs w:val="22"/>
              </w:rPr>
            </w:pPr>
            <w:r w:rsidRPr="00BE064F">
              <w:rPr>
                <w:rFonts w:ascii="Arial" w:hAnsi="Arial" w:cs="Arial"/>
                <w:sz w:val="22"/>
                <w:szCs w:val="22"/>
              </w:rPr>
              <w:t>Undertakers and funeral parlors</w:t>
            </w:r>
          </w:p>
        </w:tc>
        <w:tc>
          <w:tcPr>
            <w:tcW w:w="4233" w:type="dxa"/>
            <w:tcBorders>
              <w:top w:val="single" w:sz="4" w:space="0" w:color="auto"/>
              <w:left w:val="single" w:sz="4" w:space="0" w:color="auto"/>
              <w:bottom w:val="single" w:sz="4" w:space="0" w:color="auto"/>
              <w:right w:val="single" w:sz="4" w:space="0" w:color="auto"/>
            </w:tcBorders>
            <w:hideMark/>
          </w:tcPr>
          <w:p w:rsidR="00BE064F" w:rsidRPr="00BE064F" w:rsidRDefault="00BE064F">
            <w:pPr>
              <w:pStyle w:val="HolmdelFormat"/>
              <w:spacing w:before="20" w:after="120" w:line="240" w:lineRule="atLeast"/>
              <w:ind w:left="345"/>
              <w:jc w:val="left"/>
              <w:rPr>
                <w:rFonts w:ascii="Arial" w:eastAsiaTheme="minorEastAsia" w:hAnsi="Arial" w:cs="Arial"/>
                <w:sz w:val="22"/>
                <w:szCs w:val="22"/>
              </w:rPr>
            </w:pPr>
            <w:r w:rsidRPr="00BE064F">
              <w:rPr>
                <w:rFonts w:ascii="Arial" w:hAnsi="Arial" w:cs="Arial"/>
                <w:sz w:val="22"/>
                <w:szCs w:val="22"/>
              </w:rPr>
              <w:t>1 for each 5,000 square feet of floor area. 1 for each additional 5,000 square feet of floor area or major fraction thereof.</w:t>
            </w:r>
          </w:p>
        </w:tc>
      </w:tr>
    </w:tbl>
    <w:p w:rsidR="00BE064F" w:rsidRPr="00BE064F" w:rsidRDefault="00BE064F" w:rsidP="00BE064F">
      <w:pPr>
        <w:pStyle w:val="HolmdelIndentA0"/>
        <w:spacing w:before="160"/>
        <w:rPr>
          <w:rFonts w:ascii="Arial" w:hAnsi="Arial" w:cs="Arial"/>
          <w:sz w:val="22"/>
          <w:szCs w:val="22"/>
        </w:rPr>
      </w:pPr>
      <w:r w:rsidRPr="00BE064F">
        <w:rPr>
          <w:rFonts w:ascii="Arial" w:hAnsi="Arial" w:cs="Arial"/>
          <w:sz w:val="22"/>
          <w:szCs w:val="22"/>
        </w:rPr>
        <w:t>J.</w:t>
      </w:r>
      <w:r w:rsidRPr="00BE064F">
        <w:rPr>
          <w:rFonts w:ascii="Arial" w:hAnsi="Arial" w:cs="Arial"/>
          <w:sz w:val="22"/>
          <w:szCs w:val="22"/>
        </w:rPr>
        <w:tab/>
        <w:t>Enclosure. All uses shall be conducted wholly within a completely enclosed building, except for off-street parking and loading facilities, new and used car lots and service stations.</w:t>
      </w:r>
    </w:p>
    <w:p w:rsidR="00BE064F" w:rsidRPr="00BE064F" w:rsidRDefault="00BE064F" w:rsidP="00BE064F">
      <w:pPr>
        <w:pStyle w:val="HolmdelIndentA0"/>
        <w:spacing w:after="0"/>
        <w:rPr>
          <w:rFonts w:ascii="Arial" w:hAnsi="Arial" w:cs="Arial"/>
          <w:sz w:val="22"/>
          <w:szCs w:val="22"/>
        </w:rPr>
      </w:pPr>
      <w:r w:rsidRPr="00BE064F">
        <w:rPr>
          <w:rFonts w:ascii="Arial" w:hAnsi="Arial" w:cs="Arial"/>
          <w:sz w:val="22"/>
          <w:szCs w:val="22"/>
        </w:rPr>
        <w:t>K.</w:t>
      </w:r>
      <w:r w:rsidRPr="00BE064F">
        <w:rPr>
          <w:rFonts w:ascii="Arial" w:hAnsi="Arial" w:cs="Arial"/>
          <w:sz w:val="22"/>
          <w:szCs w:val="22"/>
        </w:rPr>
        <w:tab/>
        <w:t>Bakeries. Bakeries first permitted in any B-1 Zone shall be located no closer to a residential district than fifty (50) feet, and goods produced on the premises shall be sold only at retail on the premises.</w:t>
      </w:r>
    </w:p>
    <w:bookmarkEnd w:id="1"/>
    <w:p w:rsidR="00895CA5" w:rsidRDefault="00895CA5" w:rsidP="00895CA5">
      <w:pPr>
        <w:spacing w:after="0" w:line="240" w:lineRule="auto"/>
        <w:jc w:val="both"/>
        <w:rPr>
          <w:rFonts w:ascii="Arial" w:hAnsi="Arial" w:cs="Arial"/>
        </w:rPr>
      </w:pPr>
    </w:p>
    <w:p w:rsidR="00CB1B45" w:rsidRPr="00CB1B45" w:rsidRDefault="004E2613" w:rsidP="004E2613">
      <w:pPr>
        <w:spacing w:after="0" w:line="240" w:lineRule="auto"/>
        <w:ind w:firstLine="720"/>
        <w:jc w:val="both"/>
        <w:rPr>
          <w:rFonts w:ascii="Arial" w:hAnsi="Arial" w:cs="Arial"/>
        </w:rPr>
      </w:pPr>
      <w:r>
        <w:rPr>
          <w:rFonts w:ascii="Arial" w:hAnsi="Arial" w:cs="Arial"/>
          <w:b/>
        </w:rPr>
        <w:t>SECTION</w:t>
      </w:r>
      <w:r w:rsidR="000A3C5B">
        <w:rPr>
          <w:rFonts w:ascii="Arial" w:hAnsi="Arial" w:cs="Arial"/>
          <w:b/>
        </w:rPr>
        <w:t xml:space="preserve"> </w:t>
      </w:r>
      <w:r w:rsidR="00BE064F">
        <w:rPr>
          <w:rFonts w:ascii="Arial" w:hAnsi="Arial" w:cs="Arial"/>
          <w:b/>
        </w:rPr>
        <w:t>2</w:t>
      </w:r>
      <w:r w:rsidR="009B350F">
        <w:rPr>
          <w:rFonts w:ascii="Arial" w:hAnsi="Arial" w:cs="Arial"/>
          <w:b/>
        </w:rPr>
        <w:t>.</w:t>
      </w:r>
      <w:r>
        <w:rPr>
          <w:rFonts w:ascii="Arial" w:hAnsi="Arial" w:cs="Arial"/>
          <w:b/>
        </w:rPr>
        <w:t xml:space="preserve"> </w:t>
      </w:r>
      <w:r w:rsidR="00CB1B45" w:rsidRPr="00CB1B45">
        <w:rPr>
          <w:rFonts w:ascii="Arial" w:hAnsi="Arial" w:cs="Arial"/>
        </w:rPr>
        <w:t>All ordinances or parts of ordinances of the Borough of Bloomingdale inconsistent herewith are repealed to the extent of such inconsistency.</w:t>
      </w:r>
    </w:p>
    <w:p w:rsidR="00CB1B45" w:rsidRDefault="00CB1B45" w:rsidP="00CB1B45">
      <w:pPr>
        <w:spacing w:after="0" w:line="240" w:lineRule="auto"/>
        <w:jc w:val="both"/>
        <w:rPr>
          <w:rFonts w:ascii="Arial" w:hAnsi="Arial" w:cs="Arial"/>
        </w:rPr>
      </w:pPr>
    </w:p>
    <w:p w:rsidR="00CB1B45" w:rsidRDefault="00CB1B45" w:rsidP="00CB1B45">
      <w:pPr>
        <w:spacing w:after="0" w:line="240" w:lineRule="auto"/>
        <w:ind w:firstLine="720"/>
        <w:jc w:val="both"/>
        <w:rPr>
          <w:rFonts w:ascii="Arial" w:hAnsi="Arial" w:cs="Arial"/>
        </w:rPr>
      </w:pPr>
      <w:r w:rsidRPr="00CB1B45">
        <w:rPr>
          <w:rFonts w:ascii="Arial" w:hAnsi="Arial" w:cs="Arial"/>
          <w:b/>
        </w:rPr>
        <w:t xml:space="preserve">SECTION </w:t>
      </w:r>
      <w:r w:rsidR="00BE064F">
        <w:rPr>
          <w:rFonts w:ascii="Arial" w:hAnsi="Arial" w:cs="Arial"/>
          <w:b/>
        </w:rPr>
        <w:t>3</w:t>
      </w:r>
      <w:r w:rsidRPr="00CB1B45">
        <w:rPr>
          <w:rFonts w:ascii="Arial" w:hAnsi="Arial" w:cs="Arial"/>
        </w:rPr>
        <w:t>.</w:t>
      </w:r>
      <w:r w:rsidRPr="00CB1B45">
        <w:rPr>
          <w:rFonts w:ascii="Arial" w:hAnsi="Arial" w:cs="Arial"/>
        </w:rPr>
        <w:tab/>
        <w:t>If any section, subsection, clause or phrase of this ordinance is for any reason held to be unconstitutional or invalid by any court or competent jurisdiction, such decision shall not affect the remaining portion of this ordinance.</w:t>
      </w:r>
    </w:p>
    <w:p w:rsidR="00CB1B45" w:rsidRDefault="00CB1B45" w:rsidP="00895CA5">
      <w:pPr>
        <w:spacing w:after="0" w:line="240" w:lineRule="auto"/>
        <w:jc w:val="both"/>
        <w:rPr>
          <w:rFonts w:ascii="Arial" w:hAnsi="Arial" w:cs="Arial"/>
        </w:rPr>
      </w:pPr>
    </w:p>
    <w:p w:rsidR="00CB1B45" w:rsidRDefault="004E2613" w:rsidP="00CB1B45">
      <w:pPr>
        <w:spacing w:after="0" w:line="240" w:lineRule="auto"/>
        <w:ind w:firstLine="720"/>
        <w:jc w:val="both"/>
        <w:rPr>
          <w:rFonts w:ascii="Arial" w:hAnsi="Arial" w:cs="Arial"/>
        </w:rPr>
      </w:pPr>
      <w:r>
        <w:rPr>
          <w:rFonts w:ascii="Arial" w:hAnsi="Arial" w:cs="Arial"/>
          <w:b/>
        </w:rPr>
        <w:t xml:space="preserve">SECTION </w:t>
      </w:r>
      <w:r w:rsidR="00BE064F">
        <w:rPr>
          <w:rFonts w:ascii="Arial" w:hAnsi="Arial" w:cs="Arial"/>
          <w:b/>
        </w:rPr>
        <w:t>4</w:t>
      </w:r>
      <w:r w:rsidR="00CB1B45" w:rsidRPr="00CB1B45">
        <w:rPr>
          <w:rFonts w:ascii="Arial" w:hAnsi="Arial" w:cs="Arial"/>
        </w:rPr>
        <w:t>.</w:t>
      </w:r>
      <w:r w:rsidR="00CB1B45" w:rsidRPr="00CB1B45">
        <w:rPr>
          <w:rFonts w:ascii="Arial" w:hAnsi="Arial" w:cs="Arial"/>
        </w:rPr>
        <w:tab/>
        <w:t>This law shall take effect immediately upon final passage, approval and publication as required by law.</w:t>
      </w:r>
    </w:p>
    <w:p w:rsidR="00CB1B45" w:rsidRPr="00CB1B45" w:rsidRDefault="00CB1B45" w:rsidP="00CB1B45">
      <w:pPr>
        <w:spacing w:after="0" w:line="240" w:lineRule="auto"/>
        <w:ind w:firstLine="720"/>
        <w:jc w:val="both"/>
        <w:rPr>
          <w:rFonts w:ascii="Arial" w:hAnsi="Arial" w:cs="Arial"/>
        </w:rPr>
      </w:pPr>
    </w:p>
    <w:p w:rsidR="00FD1F95" w:rsidRPr="00343566" w:rsidRDefault="00CB1B45" w:rsidP="00FD1F95">
      <w:pPr>
        <w:tabs>
          <w:tab w:val="center" w:pos="4680"/>
        </w:tabs>
        <w:jc w:val="center"/>
        <w:rPr>
          <w:rFonts w:ascii="Times New Roman" w:hAnsi="Times New Roman"/>
          <w:sz w:val="24"/>
          <w:szCs w:val="24"/>
        </w:rPr>
      </w:pPr>
      <w:r w:rsidRPr="00CB1B45">
        <w:rPr>
          <w:rFonts w:ascii="Arial" w:hAnsi="Arial" w:cs="Arial"/>
        </w:rPr>
        <w:tab/>
      </w:r>
      <w:r w:rsidRPr="00CB1B45">
        <w:rPr>
          <w:rFonts w:ascii="Arial" w:hAnsi="Arial" w:cs="Arial"/>
        </w:rPr>
        <w:tab/>
      </w:r>
      <w:r w:rsidR="00FD1F95" w:rsidRPr="00343566">
        <w:rPr>
          <w:rFonts w:ascii="Times New Roman" w:hAnsi="Times New Roman"/>
          <w:b/>
          <w:bCs/>
          <w:sz w:val="24"/>
          <w:szCs w:val="24"/>
        </w:rPr>
        <w:t>NOTICE</w:t>
      </w:r>
    </w:p>
    <w:p w:rsidR="00FD1F95" w:rsidRPr="00343566" w:rsidRDefault="00FD1F95" w:rsidP="00FD1F95">
      <w:pPr>
        <w:rPr>
          <w:rFonts w:ascii="Times New Roman" w:hAnsi="Times New Roman"/>
          <w:sz w:val="24"/>
          <w:szCs w:val="24"/>
        </w:rPr>
      </w:pPr>
    </w:p>
    <w:p w:rsidR="00FD1F95" w:rsidRPr="00343566" w:rsidRDefault="00FD1F95" w:rsidP="00FD1F95">
      <w:pPr>
        <w:rPr>
          <w:rFonts w:ascii="Times New Roman" w:hAnsi="Times New Roman"/>
          <w:sz w:val="24"/>
          <w:szCs w:val="24"/>
        </w:rPr>
      </w:pPr>
      <w:r w:rsidRPr="00343566">
        <w:rPr>
          <w:rFonts w:ascii="Times New Roman" w:hAnsi="Times New Roman"/>
          <w:sz w:val="24"/>
          <w:szCs w:val="24"/>
        </w:rPr>
        <w:t xml:space="preserve">NOTICE IS HEREBY GIVEN, that the above Ordinance was introduced and passed on first reading at the </w:t>
      </w:r>
      <w:r>
        <w:rPr>
          <w:rFonts w:ascii="Times New Roman" w:hAnsi="Times New Roman"/>
          <w:sz w:val="24"/>
          <w:szCs w:val="24"/>
        </w:rPr>
        <w:t xml:space="preserve">Regular Business </w:t>
      </w:r>
      <w:r w:rsidRPr="00343566">
        <w:rPr>
          <w:rFonts w:ascii="Times New Roman" w:hAnsi="Times New Roman"/>
          <w:sz w:val="24"/>
          <w:szCs w:val="24"/>
        </w:rPr>
        <w:t xml:space="preserve">Meeting of the Governing Body of the Borough of Bloomingdale held in the Municipal Building on the </w:t>
      </w:r>
      <w:r>
        <w:rPr>
          <w:rFonts w:ascii="Times New Roman" w:hAnsi="Times New Roman"/>
          <w:sz w:val="24"/>
          <w:szCs w:val="24"/>
        </w:rPr>
        <w:t>2nd</w:t>
      </w:r>
      <w:r w:rsidRPr="00343566">
        <w:rPr>
          <w:rFonts w:ascii="Times New Roman" w:hAnsi="Times New Roman"/>
          <w:sz w:val="24"/>
          <w:szCs w:val="24"/>
        </w:rPr>
        <w:t xml:space="preserve"> day of </w:t>
      </w:r>
      <w:r>
        <w:rPr>
          <w:rFonts w:ascii="Times New Roman" w:hAnsi="Times New Roman"/>
          <w:sz w:val="24"/>
          <w:szCs w:val="24"/>
        </w:rPr>
        <w:t>February, 2016</w:t>
      </w:r>
      <w:r w:rsidRPr="00343566">
        <w:rPr>
          <w:rFonts w:ascii="Times New Roman" w:hAnsi="Times New Roman"/>
          <w:sz w:val="24"/>
          <w:szCs w:val="24"/>
        </w:rPr>
        <w:t xml:space="preserve">, and the same shall come up for final passage at the Regular Business Meeting of the Governing Body to be held on the </w:t>
      </w:r>
      <w:r>
        <w:rPr>
          <w:rFonts w:ascii="Times New Roman" w:hAnsi="Times New Roman"/>
          <w:sz w:val="24"/>
          <w:szCs w:val="24"/>
        </w:rPr>
        <w:t xml:space="preserve">15th </w:t>
      </w:r>
      <w:r w:rsidRPr="00343566">
        <w:rPr>
          <w:rFonts w:ascii="Times New Roman" w:hAnsi="Times New Roman"/>
          <w:sz w:val="24"/>
          <w:szCs w:val="24"/>
        </w:rPr>
        <w:t xml:space="preserve">day of </w:t>
      </w:r>
      <w:r>
        <w:rPr>
          <w:rFonts w:ascii="Times New Roman" w:hAnsi="Times New Roman"/>
          <w:sz w:val="24"/>
          <w:szCs w:val="24"/>
        </w:rPr>
        <w:t>March 2016, at 7:0</w:t>
      </w:r>
      <w:r w:rsidRPr="00343566">
        <w:rPr>
          <w:rFonts w:ascii="Times New Roman" w:hAnsi="Times New Roman"/>
          <w:sz w:val="24"/>
          <w:szCs w:val="24"/>
        </w:rPr>
        <w:t>0 P.M., at which time any persons interested shall be given the opportunity to be heard concerning said Ordinance</w:t>
      </w:r>
    </w:p>
    <w:p w:rsidR="00FD1F95" w:rsidRPr="00343566" w:rsidRDefault="00FD1F95" w:rsidP="00FD1F95">
      <w:pPr>
        <w:rPr>
          <w:rFonts w:ascii="Times New Roman" w:hAnsi="Times New Roman"/>
          <w:sz w:val="24"/>
          <w:szCs w:val="24"/>
        </w:rPr>
      </w:pPr>
    </w:p>
    <w:p w:rsidR="00FD1F95" w:rsidRDefault="00FD1F95" w:rsidP="00FD1F95">
      <w:pPr>
        <w:ind w:left="5040"/>
        <w:rPr>
          <w:rFonts w:ascii="Times New Roman" w:hAnsi="Times New Roman"/>
          <w:sz w:val="24"/>
          <w:szCs w:val="24"/>
        </w:rPr>
      </w:pPr>
      <w:r w:rsidRPr="00343566">
        <w:rPr>
          <w:rFonts w:ascii="Times New Roman" w:hAnsi="Times New Roman"/>
          <w:sz w:val="24"/>
          <w:szCs w:val="24"/>
        </w:rPr>
        <w:t>______________________________</w:t>
      </w:r>
    </w:p>
    <w:p w:rsidR="00FD1F95" w:rsidRPr="00343566" w:rsidRDefault="00FD1F95" w:rsidP="00FD1F95">
      <w:pPr>
        <w:ind w:left="5040"/>
        <w:rPr>
          <w:rFonts w:ascii="Times New Roman" w:hAnsi="Times New Roman"/>
          <w:b/>
          <w:bCs/>
          <w:color w:val="000000"/>
          <w:sz w:val="24"/>
          <w:szCs w:val="24"/>
        </w:rPr>
      </w:pPr>
      <w:r w:rsidRPr="00343566">
        <w:rPr>
          <w:rFonts w:ascii="Times New Roman" w:hAnsi="Times New Roman"/>
          <w:sz w:val="24"/>
          <w:szCs w:val="24"/>
        </w:rPr>
        <w:t>Jane McCarthy, Municipal Clerk</w:t>
      </w:r>
    </w:p>
    <w:p w:rsidR="00FD1F95" w:rsidRPr="00343566" w:rsidRDefault="00FD1F95" w:rsidP="00FD1F95">
      <w:pPr>
        <w:spacing w:line="480" w:lineRule="auto"/>
        <w:rPr>
          <w:rFonts w:ascii="Times New Roman" w:hAnsi="Times New Roman"/>
          <w:sz w:val="24"/>
          <w:szCs w:val="24"/>
        </w:rPr>
      </w:pPr>
    </w:p>
    <w:p w:rsidR="00FD1F95" w:rsidRPr="00343566" w:rsidRDefault="00FD1F95" w:rsidP="00FD1F95">
      <w:pPr>
        <w:rPr>
          <w:rFonts w:ascii="Times New Roman" w:hAnsi="Times New Roman"/>
          <w:sz w:val="24"/>
          <w:szCs w:val="24"/>
        </w:rPr>
      </w:pPr>
    </w:p>
    <w:p w:rsidR="00CB1B45" w:rsidRPr="00CB1B45" w:rsidRDefault="00CB1B45" w:rsidP="00D07DD4">
      <w:pPr>
        <w:spacing w:after="0" w:line="240" w:lineRule="auto"/>
        <w:ind w:firstLine="720"/>
        <w:jc w:val="both"/>
        <w:rPr>
          <w:rFonts w:ascii="Arial" w:hAnsi="Arial" w:cs="Arial"/>
        </w:rPr>
      </w:pPr>
      <w:r w:rsidRPr="00CB1B45">
        <w:rPr>
          <w:rFonts w:ascii="Arial" w:hAnsi="Arial" w:cs="Arial"/>
        </w:rPr>
        <w:tab/>
      </w:r>
      <w:r w:rsidRPr="00CB1B45">
        <w:rPr>
          <w:rFonts w:ascii="Arial" w:hAnsi="Arial" w:cs="Arial"/>
        </w:rPr>
        <w:tab/>
      </w:r>
      <w:r w:rsidRPr="00CB1B45">
        <w:rPr>
          <w:rFonts w:ascii="Arial" w:hAnsi="Arial" w:cs="Arial"/>
        </w:rPr>
        <w:tab/>
      </w:r>
      <w:r w:rsidRPr="00CB1B45">
        <w:rPr>
          <w:rFonts w:ascii="Arial" w:hAnsi="Arial" w:cs="Arial"/>
        </w:rPr>
        <w:tab/>
      </w:r>
    </w:p>
    <w:sectPr w:rsidR="00CB1B45" w:rsidRPr="00CB1B45" w:rsidSect="008A08BC">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B45"/>
    <w:rsid w:val="000411E2"/>
    <w:rsid w:val="000A3C5B"/>
    <w:rsid w:val="001E02DF"/>
    <w:rsid w:val="002077F3"/>
    <w:rsid w:val="00234D51"/>
    <w:rsid w:val="00245F99"/>
    <w:rsid w:val="00293228"/>
    <w:rsid w:val="002C7FBA"/>
    <w:rsid w:val="00336E30"/>
    <w:rsid w:val="00382D38"/>
    <w:rsid w:val="003E7C57"/>
    <w:rsid w:val="0044553C"/>
    <w:rsid w:val="004B1C9F"/>
    <w:rsid w:val="004E2613"/>
    <w:rsid w:val="006B1413"/>
    <w:rsid w:val="0070084D"/>
    <w:rsid w:val="00727EBD"/>
    <w:rsid w:val="007B32B4"/>
    <w:rsid w:val="007C31C1"/>
    <w:rsid w:val="00814CE2"/>
    <w:rsid w:val="00874061"/>
    <w:rsid w:val="00895CA5"/>
    <w:rsid w:val="008A08BC"/>
    <w:rsid w:val="008F1BAD"/>
    <w:rsid w:val="0095690B"/>
    <w:rsid w:val="009728B9"/>
    <w:rsid w:val="009B350F"/>
    <w:rsid w:val="00A35D8E"/>
    <w:rsid w:val="00A75557"/>
    <w:rsid w:val="00A84BBF"/>
    <w:rsid w:val="00A86FE0"/>
    <w:rsid w:val="00B1161F"/>
    <w:rsid w:val="00BE064F"/>
    <w:rsid w:val="00C5440A"/>
    <w:rsid w:val="00C60521"/>
    <w:rsid w:val="00C67A72"/>
    <w:rsid w:val="00CB15B1"/>
    <w:rsid w:val="00CB1B45"/>
    <w:rsid w:val="00CD1726"/>
    <w:rsid w:val="00D008DB"/>
    <w:rsid w:val="00D07DD4"/>
    <w:rsid w:val="00D21F07"/>
    <w:rsid w:val="00F90814"/>
    <w:rsid w:val="00FA34B5"/>
    <w:rsid w:val="00FD1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83CE53-2E32-41FC-A902-441E729E2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245F99"/>
    <w:pPr>
      <w:keepNext/>
      <w:spacing w:after="0" w:line="280" w:lineRule="atLeast"/>
      <w:ind w:left="840" w:hanging="840"/>
      <w:jc w:val="both"/>
      <w:outlineLvl w:val="2"/>
    </w:pPr>
    <w:rPr>
      <w:rFonts w:ascii="Times" w:eastAsia="Times New Roman" w:hAnsi="Times" w:cs="Times"/>
      <w:b/>
      <w:bCs/>
      <w:sz w:val="24"/>
      <w:szCs w:val="24"/>
    </w:rPr>
  </w:style>
  <w:style w:type="paragraph" w:styleId="Heading4">
    <w:name w:val="heading 4"/>
    <w:basedOn w:val="Normal"/>
    <w:next w:val="Normal"/>
    <w:link w:val="Heading4Char"/>
    <w:uiPriority w:val="9"/>
    <w:semiHidden/>
    <w:unhideWhenUsed/>
    <w:qFormat/>
    <w:rsid w:val="000A3C5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E2613"/>
    <w:rPr>
      <w:sz w:val="16"/>
      <w:szCs w:val="16"/>
    </w:rPr>
  </w:style>
  <w:style w:type="paragraph" w:styleId="CommentText">
    <w:name w:val="annotation text"/>
    <w:basedOn w:val="Normal"/>
    <w:link w:val="CommentTextChar"/>
    <w:uiPriority w:val="99"/>
    <w:semiHidden/>
    <w:unhideWhenUsed/>
    <w:rsid w:val="004E2613"/>
    <w:pPr>
      <w:spacing w:line="240" w:lineRule="auto"/>
    </w:pPr>
    <w:rPr>
      <w:sz w:val="20"/>
      <w:szCs w:val="20"/>
    </w:rPr>
  </w:style>
  <w:style w:type="character" w:customStyle="1" w:styleId="CommentTextChar">
    <w:name w:val="Comment Text Char"/>
    <w:basedOn w:val="DefaultParagraphFont"/>
    <w:link w:val="CommentText"/>
    <w:uiPriority w:val="99"/>
    <w:semiHidden/>
    <w:rsid w:val="004E2613"/>
    <w:rPr>
      <w:sz w:val="20"/>
      <w:szCs w:val="20"/>
    </w:rPr>
  </w:style>
  <w:style w:type="paragraph" w:styleId="CommentSubject">
    <w:name w:val="annotation subject"/>
    <w:basedOn w:val="CommentText"/>
    <w:next w:val="CommentText"/>
    <w:link w:val="CommentSubjectChar"/>
    <w:uiPriority w:val="99"/>
    <w:semiHidden/>
    <w:unhideWhenUsed/>
    <w:rsid w:val="004E2613"/>
    <w:rPr>
      <w:b/>
      <w:bCs/>
    </w:rPr>
  </w:style>
  <w:style w:type="character" w:customStyle="1" w:styleId="CommentSubjectChar">
    <w:name w:val="Comment Subject Char"/>
    <w:basedOn w:val="CommentTextChar"/>
    <w:link w:val="CommentSubject"/>
    <w:uiPriority w:val="99"/>
    <w:semiHidden/>
    <w:rsid w:val="004E2613"/>
    <w:rPr>
      <w:b/>
      <w:bCs/>
      <w:sz w:val="20"/>
      <w:szCs w:val="20"/>
    </w:rPr>
  </w:style>
  <w:style w:type="paragraph" w:styleId="BalloonText">
    <w:name w:val="Balloon Text"/>
    <w:basedOn w:val="Normal"/>
    <w:link w:val="BalloonTextChar"/>
    <w:uiPriority w:val="99"/>
    <w:semiHidden/>
    <w:unhideWhenUsed/>
    <w:rsid w:val="004E26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613"/>
    <w:rPr>
      <w:rFonts w:ascii="Tahoma" w:hAnsi="Tahoma" w:cs="Tahoma"/>
      <w:sz w:val="16"/>
      <w:szCs w:val="16"/>
    </w:rPr>
  </w:style>
  <w:style w:type="character" w:customStyle="1" w:styleId="Heading3Char">
    <w:name w:val="Heading 3 Char"/>
    <w:basedOn w:val="DefaultParagraphFont"/>
    <w:link w:val="Heading3"/>
    <w:uiPriority w:val="9"/>
    <w:rsid w:val="00245F99"/>
    <w:rPr>
      <w:rFonts w:ascii="Times" w:eastAsia="Times New Roman" w:hAnsi="Times" w:cs="Times"/>
      <w:b/>
      <w:bCs/>
      <w:sz w:val="24"/>
      <w:szCs w:val="24"/>
    </w:rPr>
  </w:style>
  <w:style w:type="paragraph" w:customStyle="1" w:styleId="HolmdelIndenta">
    <w:name w:val="Holmdel Indent a."/>
    <w:basedOn w:val="Normal"/>
    <w:rsid w:val="00245F99"/>
    <w:pPr>
      <w:spacing w:after="160" w:line="280" w:lineRule="atLeast"/>
      <w:jc w:val="both"/>
    </w:pPr>
    <w:rPr>
      <w:rFonts w:ascii="Times" w:eastAsia="Times New Roman" w:hAnsi="Times" w:cs="Times"/>
      <w:sz w:val="24"/>
      <w:szCs w:val="24"/>
    </w:rPr>
  </w:style>
  <w:style w:type="paragraph" w:customStyle="1" w:styleId="HolmdelFormat">
    <w:name w:val="Holmdel Format"/>
    <w:basedOn w:val="Normal"/>
    <w:rsid w:val="00245F99"/>
    <w:pPr>
      <w:spacing w:after="0" w:line="280" w:lineRule="atLeast"/>
      <w:jc w:val="both"/>
    </w:pPr>
    <w:rPr>
      <w:rFonts w:ascii="Times" w:eastAsia="Times New Roman" w:hAnsi="Times" w:cs="Times"/>
      <w:sz w:val="24"/>
      <w:szCs w:val="24"/>
    </w:rPr>
  </w:style>
  <w:style w:type="paragraph" w:customStyle="1" w:styleId="HolmdelFormat8">
    <w:name w:val="Holmdel Format +8"/>
    <w:basedOn w:val="Normal"/>
    <w:rsid w:val="00245F99"/>
    <w:pPr>
      <w:spacing w:after="160" w:line="280" w:lineRule="atLeast"/>
      <w:jc w:val="both"/>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0A3C5B"/>
    <w:rPr>
      <w:rFonts w:asciiTheme="majorHAnsi" w:eastAsiaTheme="majorEastAsia" w:hAnsiTheme="majorHAnsi" w:cstheme="majorBidi"/>
      <w:b/>
      <w:bCs/>
      <w:i/>
      <w:iCs/>
      <w:color w:val="4F81BD" w:themeColor="accent1"/>
    </w:rPr>
  </w:style>
  <w:style w:type="paragraph" w:customStyle="1" w:styleId="CaledoniaIndent1">
    <w:name w:val="Caledonia Indent 1."/>
    <w:basedOn w:val="Normal"/>
    <w:rsid w:val="002C7FBA"/>
    <w:pPr>
      <w:spacing w:after="160" w:line="280" w:lineRule="atLeast"/>
      <w:ind w:left="440"/>
      <w:jc w:val="both"/>
    </w:pPr>
    <w:rPr>
      <w:rFonts w:ascii="Times" w:eastAsiaTheme="minorEastAsia" w:hAnsi="Times" w:cs="Times"/>
      <w:sz w:val="24"/>
      <w:szCs w:val="24"/>
    </w:rPr>
  </w:style>
  <w:style w:type="paragraph" w:customStyle="1" w:styleId="CaledoniaIndenta">
    <w:name w:val="Caledonia Indent (a)"/>
    <w:basedOn w:val="Normal"/>
    <w:rsid w:val="002C7FBA"/>
    <w:pPr>
      <w:spacing w:after="160" w:line="280" w:lineRule="atLeast"/>
      <w:ind w:left="980"/>
      <w:jc w:val="both"/>
    </w:pPr>
    <w:rPr>
      <w:rFonts w:ascii="Times" w:eastAsiaTheme="minorEastAsia" w:hAnsi="Times" w:cs="Times"/>
      <w:sz w:val="24"/>
      <w:szCs w:val="24"/>
    </w:rPr>
  </w:style>
  <w:style w:type="paragraph" w:customStyle="1" w:styleId="CaledoniaIndenta0">
    <w:name w:val="Caledonia Indent a."/>
    <w:basedOn w:val="Normal"/>
    <w:rsid w:val="002C7FBA"/>
    <w:pPr>
      <w:spacing w:after="160" w:line="280" w:lineRule="atLeast"/>
      <w:jc w:val="both"/>
    </w:pPr>
    <w:rPr>
      <w:rFonts w:ascii="Times" w:eastAsiaTheme="minorEastAsia" w:hAnsi="Times" w:cs="Times"/>
      <w:sz w:val="24"/>
      <w:szCs w:val="24"/>
    </w:rPr>
  </w:style>
  <w:style w:type="paragraph" w:customStyle="1" w:styleId="CaledoniaFormat8">
    <w:name w:val="Caledonia Format +8"/>
    <w:basedOn w:val="Normal"/>
    <w:rsid w:val="002C7FBA"/>
    <w:pPr>
      <w:spacing w:after="160" w:line="280" w:lineRule="atLeast"/>
      <w:jc w:val="both"/>
    </w:pPr>
    <w:rPr>
      <w:rFonts w:ascii="Times" w:eastAsiaTheme="minorEastAsia" w:hAnsi="Times" w:cs="Times"/>
      <w:sz w:val="24"/>
      <w:szCs w:val="24"/>
    </w:rPr>
  </w:style>
  <w:style w:type="paragraph" w:customStyle="1" w:styleId="HolmdelIndent1">
    <w:name w:val="Holmdel Indent (1)"/>
    <w:basedOn w:val="Normal"/>
    <w:rsid w:val="00BE064F"/>
    <w:pPr>
      <w:spacing w:after="160" w:line="280" w:lineRule="atLeast"/>
      <w:ind w:left="1037" w:hanging="1037"/>
      <w:jc w:val="both"/>
    </w:pPr>
    <w:rPr>
      <w:rFonts w:ascii="Times New Roman" w:eastAsiaTheme="minorEastAsia" w:hAnsi="Times New Roman" w:cs="Times New Roman"/>
      <w:sz w:val="24"/>
      <w:szCs w:val="24"/>
    </w:rPr>
  </w:style>
  <w:style w:type="paragraph" w:customStyle="1" w:styleId="HolmdelIndentA0">
    <w:name w:val="Holmdel Indent A."/>
    <w:basedOn w:val="Normal"/>
    <w:rsid w:val="00BE064F"/>
    <w:pPr>
      <w:spacing w:after="160" w:line="280" w:lineRule="atLeast"/>
      <w:ind w:left="475" w:hanging="475"/>
      <w:jc w:val="both"/>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468510">
      <w:bodyDiv w:val="1"/>
      <w:marLeft w:val="0"/>
      <w:marRight w:val="0"/>
      <w:marTop w:val="0"/>
      <w:marBottom w:val="0"/>
      <w:divBdr>
        <w:top w:val="none" w:sz="0" w:space="0" w:color="auto"/>
        <w:left w:val="none" w:sz="0" w:space="0" w:color="auto"/>
        <w:bottom w:val="none" w:sz="0" w:space="0" w:color="auto"/>
        <w:right w:val="none" w:sz="0" w:space="0" w:color="auto"/>
      </w:divBdr>
    </w:div>
    <w:div w:id="1300573011">
      <w:bodyDiv w:val="1"/>
      <w:marLeft w:val="0"/>
      <w:marRight w:val="0"/>
      <w:marTop w:val="0"/>
      <w:marBottom w:val="0"/>
      <w:divBdr>
        <w:top w:val="none" w:sz="0" w:space="0" w:color="auto"/>
        <w:left w:val="none" w:sz="0" w:space="0" w:color="auto"/>
        <w:bottom w:val="none" w:sz="0" w:space="0" w:color="auto"/>
        <w:right w:val="none" w:sz="0" w:space="0" w:color="auto"/>
      </w:divBdr>
    </w:div>
    <w:div w:id="1324120516">
      <w:bodyDiv w:val="1"/>
      <w:marLeft w:val="0"/>
      <w:marRight w:val="0"/>
      <w:marTop w:val="0"/>
      <w:marBottom w:val="0"/>
      <w:divBdr>
        <w:top w:val="none" w:sz="0" w:space="0" w:color="auto"/>
        <w:left w:val="none" w:sz="0" w:space="0" w:color="auto"/>
        <w:bottom w:val="none" w:sz="0" w:space="0" w:color="auto"/>
        <w:right w:val="none" w:sz="0" w:space="0" w:color="auto"/>
      </w:divBdr>
    </w:div>
    <w:div w:id="1344359588">
      <w:bodyDiv w:val="1"/>
      <w:marLeft w:val="0"/>
      <w:marRight w:val="0"/>
      <w:marTop w:val="0"/>
      <w:marBottom w:val="0"/>
      <w:divBdr>
        <w:top w:val="none" w:sz="0" w:space="0" w:color="auto"/>
        <w:left w:val="none" w:sz="0" w:space="0" w:color="auto"/>
        <w:bottom w:val="none" w:sz="0" w:space="0" w:color="auto"/>
        <w:right w:val="none" w:sz="0" w:space="0" w:color="auto"/>
      </w:divBdr>
    </w:div>
    <w:div w:id="1350713152">
      <w:bodyDiv w:val="1"/>
      <w:marLeft w:val="0"/>
      <w:marRight w:val="0"/>
      <w:marTop w:val="0"/>
      <w:marBottom w:val="0"/>
      <w:divBdr>
        <w:top w:val="none" w:sz="0" w:space="0" w:color="auto"/>
        <w:left w:val="none" w:sz="0" w:space="0" w:color="auto"/>
        <w:bottom w:val="none" w:sz="0" w:space="0" w:color="auto"/>
        <w:right w:val="none" w:sz="0" w:space="0" w:color="auto"/>
      </w:divBdr>
    </w:div>
    <w:div w:id="1708749067">
      <w:bodyDiv w:val="1"/>
      <w:marLeft w:val="360"/>
      <w:marRight w:val="360"/>
      <w:marTop w:val="360"/>
      <w:marBottom w:val="360"/>
      <w:divBdr>
        <w:top w:val="none" w:sz="0" w:space="0" w:color="auto"/>
        <w:left w:val="none" w:sz="0" w:space="0" w:color="auto"/>
        <w:bottom w:val="none" w:sz="0" w:space="0" w:color="auto"/>
        <w:right w:val="none" w:sz="0" w:space="0" w:color="auto"/>
      </w:divBdr>
      <w:divsChild>
        <w:div w:id="962927117">
          <w:marLeft w:val="0"/>
          <w:marRight w:val="0"/>
          <w:marTop w:val="0"/>
          <w:marBottom w:val="0"/>
          <w:divBdr>
            <w:top w:val="none" w:sz="0" w:space="0" w:color="auto"/>
            <w:left w:val="none" w:sz="0" w:space="0" w:color="auto"/>
            <w:bottom w:val="none" w:sz="0" w:space="0" w:color="auto"/>
            <w:right w:val="none" w:sz="0" w:space="0" w:color="auto"/>
          </w:divBdr>
          <w:divsChild>
            <w:div w:id="707410432">
              <w:marLeft w:val="0"/>
              <w:marRight w:val="0"/>
              <w:marTop w:val="0"/>
              <w:marBottom w:val="0"/>
              <w:divBdr>
                <w:top w:val="none" w:sz="0" w:space="0" w:color="auto"/>
                <w:left w:val="none" w:sz="0" w:space="0" w:color="auto"/>
                <w:bottom w:val="none" w:sz="0" w:space="0" w:color="auto"/>
                <w:right w:val="none" w:sz="0" w:space="0" w:color="auto"/>
              </w:divBdr>
              <w:divsChild>
                <w:div w:id="1686011006">
                  <w:marLeft w:val="0"/>
                  <w:marRight w:val="0"/>
                  <w:marTop w:val="0"/>
                  <w:marBottom w:val="0"/>
                  <w:divBdr>
                    <w:top w:val="none" w:sz="0" w:space="0" w:color="auto"/>
                    <w:left w:val="none" w:sz="0" w:space="0" w:color="auto"/>
                    <w:bottom w:val="none" w:sz="0" w:space="0" w:color="auto"/>
                    <w:right w:val="none" w:sz="0" w:space="0" w:color="auto"/>
                  </w:divBdr>
                  <w:divsChild>
                    <w:div w:id="1103768635">
                      <w:marLeft w:val="0"/>
                      <w:marRight w:val="0"/>
                      <w:marTop w:val="0"/>
                      <w:marBottom w:val="0"/>
                      <w:divBdr>
                        <w:top w:val="none" w:sz="0" w:space="0" w:color="auto"/>
                        <w:left w:val="none" w:sz="0" w:space="0" w:color="auto"/>
                        <w:bottom w:val="none" w:sz="0" w:space="0" w:color="auto"/>
                        <w:right w:val="none" w:sz="0" w:space="0" w:color="auto"/>
                      </w:divBdr>
                      <w:divsChild>
                        <w:div w:id="479227289">
                          <w:marLeft w:val="0"/>
                          <w:marRight w:val="0"/>
                          <w:marTop w:val="0"/>
                          <w:marBottom w:val="0"/>
                          <w:divBdr>
                            <w:top w:val="none" w:sz="0" w:space="0" w:color="auto"/>
                            <w:left w:val="none" w:sz="0" w:space="0" w:color="auto"/>
                            <w:bottom w:val="none" w:sz="0" w:space="0" w:color="auto"/>
                            <w:right w:val="none" w:sz="0" w:space="0" w:color="auto"/>
                          </w:divBdr>
                          <w:divsChild>
                            <w:div w:id="362681479">
                              <w:marLeft w:val="0"/>
                              <w:marRight w:val="0"/>
                              <w:marTop w:val="240"/>
                              <w:marBottom w:val="0"/>
                              <w:divBdr>
                                <w:top w:val="none" w:sz="0" w:space="0" w:color="auto"/>
                                <w:left w:val="none" w:sz="0" w:space="0" w:color="auto"/>
                                <w:bottom w:val="none" w:sz="0" w:space="0" w:color="auto"/>
                                <w:right w:val="none" w:sz="0" w:space="0" w:color="auto"/>
                              </w:divBdr>
                              <w:divsChild>
                                <w:div w:id="1286696796">
                                  <w:marLeft w:val="240"/>
                                  <w:marRight w:val="0"/>
                                  <w:marTop w:val="240"/>
                                  <w:marBottom w:val="0"/>
                                  <w:divBdr>
                                    <w:top w:val="none" w:sz="0" w:space="0" w:color="auto"/>
                                    <w:left w:val="none" w:sz="0" w:space="0" w:color="auto"/>
                                    <w:bottom w:val="none" w:sz="0" w:space="0" w:color="auto"/>
                                    <w:right w:val="none" w:sz="0" w:space="0" w:color="auto"/>
                                  </w:divBdr>
                                </w:div>
                                <w:div w:id="1407192487">
                                  <w:marLeft w:val="480"/>
                                  <w:marRight w:val="0"/>
                                  <w:marTop w:val="240"/>
                                  <w:marBottom w:val="0"/>
                                  <w:divBdr>
                                    <w:top w:val="none" w:sz="0" w:space="0" w:color="auto"/>
                                    <w:left w:val="none" w:sz="0" w:space="0" w:color="auto"/>
                                    <w:bottom w:val="none" w:sz="0" w:space="0" w:color="auto"/>
                                    <w:right w:val="none" w:sz="0" w:space="0" w:color="auto"/>
                                  </w:divBdr>
                                </w:div>
                                <w:div w:id="1381399118">
                                  <w:marLeft w:val="480"/>
                                  <w:marRight w:val="0"/>
                                  <w:marTop w:val="240"/>
                                  <w:marBottom w:val="0"/>
                                  <w:divBdr>
                                    <w:top w:val="none" w:sz="0" w:space="0" w:color="auto"/>
                                    <w:left w:val="none" w:sz="0" w:space="0" w:color="auto"/>
                                    <w:bottom w:val="none" w:sz="0" w:space="0" w:color="auto"/>
                                    <w:right w:val="none" w:sz="0" w:space="0" w:color="auto"/>
                                  </w:divBdr>
                                </w:div>
                                <w:div w:id="476144407">
                                  <w:marLeft w:val="48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14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A0745-D39C-4BE8-B880-6CE80E4D7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957</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dc:creator>
  <cp:lastModifiedBy>Jane McCarthy</cp:lastModifiedBy>
  <cp:revision>2</cp:revision>
  <cp:lastPrinted>2016-01-29T19:57:00Z</cp:lastPrinted>
  <dcterms:created xsi:type="dcterms:W3CDTF">2016-02-10T16:34:00Z</dcterms:created>
  <dcterms:modified xsi:type="dcterms:W3CDTF">2016-02-10T16:34:00Z</dcterms:modified>
</cp:coreProperties>
</file>