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41" w:rsidRPr="008A08BC" w:rsidRDefault="00755941" w:rsidP="00CB1B45">
      <w:pPr>
        <w:spacing w:after="0" w:line="240" w:lineRule="auto"/>
        <w:jc w:val="center"/>
        <w:rPr>
          <w:rFonts w:ascii="Arial" w:hAnsi="Arial" w:cs="Arial"/>
          <w:b/>
        </w:rPr>
      </w:pPr>
      <w:r>
        <w:rPr>
          <w:rFonts w:ascii="Arial" w:hAnsi="Arial" w:cs="Arial"/>
          <w:b/>
        </w:rPr>
        <w:t>ORDINANCE 5-2016</w:t>
      </w:r>
    </w:p>
    <w:p w:rsidR="00755941" w:rsidRPr="008A08BC" w:rsidRDefault="00755941" w:rsidP="00CB1B45">
      <w:pPr>
        <w:spacing w:after="0" w:line="240" w:lineRule="auto"/>
        <w:jc w:val="center"/>
        <w:rPr>
          <w:rFonts w:ascii="Arial" w:hAnsi="Arial" w:cs="Arial"/>
          <w:b/>
        </w:rPr>
      </w:pPr>
      <w:r w:rsidRPr="008A08BC">
        <w:rPr>
          <w:rFonts w:ascii="Arial" w:hAnsi="Arial" w:cs="Arial"/>
          <w:b/>
        </w:rPr>
        <w:t>OF THE GOVERNING BODY</w:t>
      </w:r>
    </w:p>
    <w:p w:rsidR="00755941" w:rsidRPr="008A08BC" w:rsidRDefault="00755941" w:rsidP="00CB1B45">
      <w:pPr>
        <w:spacing w:after="0" w:line="240" w:lineRule="auto"/>
        <w:jc w:val="center"/>
        <w:rPr>
          <w:rFonts w:ascii="Arial" w:hAnsi="Arial" w:cs="Arial"/>
          <w:b/>
        </w:rPr>
      </w:pPr>
      <w:r w:rsidRPr="008A08BC">
        <w:rPr>
          <w:rFonts w:ascii="Arial" w:hAnsi="Arial" w:cs="Arial"/>
          <w:b/>
        </w:rPr>
        <w:t>OF THE BOROUGH OF BLOOMINGALE</w:t>
      </w:r>
    </w:p>
    <w:p w:rsidR="00755941" w:rsidRPr="008A08BC" w:rsidRDefault="00755941" w:rsidP="00CB1B45">
      <w:pPr>
        <w:spacing w:after="0" w:line="240" w:lineRule="auto"/>
        <w:rPr>
          <w:rFonts w:ascii="Arial" w:hAnsi="Arial" w:cs="Arial"/>
          <w:b/>
        </w:rPr>
      </w:pPr>
    </w:p>
    <w:p w:rsidR="00755941" w:rsidRPr="008A08BC" w:rsidRDefault="00755941"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 xml:space="preserve">AN ORDINANCE OF THE BOROUGH OF BLOOMINGDALE, IN THE </w:t>
      </w:r>
      <w:smartTag w:uri="urn:schemas-microsoft-com:office:smarttags" w:element="PlaceType">
        <w:r w:rsidRPr="008A08BC">
          <w:rPr>
            <w:rFonts w:ascii="Arial" w:hAnsi="Arial" w:cs="Arial"/>
            <w:b/>
            <w:caps/>
            <w:color w:val="000002"/>
          </w:rPr>
          <w:t>COUNTY</w:t>
        </w:r>
      </w:smartTag>
      <w:r w:rsidRPr="008A08BC">
        <w:rPr>
          <w:rFonts w:ascii="Arial" w:hAnsi="Arial" w:cs="Arial"/>
          <w:b/>
          <w:caps/>
          <w:color w:val="000002"/>
        </w:rPr>
        <w:t xml:space="preserve"> OF </w:t>
      </w:r>
      <w:smartTag w:uri="urn:schemas-microsoft-com:office:smarttags" w:element="PlaceName">
        <w:r w:rsidRPr="008A08BC">
          <w:rPr>
            <w:rFonts w:ascii="Arial" w:hAnsi="Arial" w:cs="Arial"/>
            <w:b/>
            <w:caps/>
            <w:color w:val="000002"/>
          </w:rPr>
          <w:t>PASSAIC</w:t>
        </w:r>
      </w:smartTag>
      <w:r w:rsidRPr="008A08BC">
        <w:rPr>
          <w:rFonts w:ascii="Arial" w:hAnsi="Arial" w:cs="Arial"/>
          <w:b/>
          <w:caps/>
          <w:color w:val="000002"/>
        </w:rPr>
        <w:t xml:space="preserve"> AND STATE OF NEW </w:t>
      </w:r>
      <w:smartTag w:uri="urn:schemas-microsoft-com:office:smarttags" w:element="place">
        <w:r w:rsidRPr="008A08BC">
          <w:rPr>
            <w:rFonts w:ascii="Arial" w:hAnsi="Arial" w:cs="Arial"/>
            <w:b/>
            <w:caps/>
            <w:color w:val="000002"/>
          </w:rPr>
          <w:t>JERSEY</w:t>
        </w:r>
      </w:smartTag>
      <w:r w:rsidRPr="008A08BC">
        <w:rPr>
          <w:rFonts w:ascii="Arial" w:hAnsi="Arial" w:cs="Arial"/>
          <w:b/>
          <w:caps/>
          <w:color w:val="000002"/>
        </w:rPr>
        <w:t xml:space="preserve">, </w:t>
      </w:r>
      <w:r>
        <w:rPr>
          <w:rFonts w:ascii="Arial" w:hAnsi="Arial" w:cs="Arial"/>
          <w:b/>
          <w:caps/>
          <w:color w:val="000002"/>
        </w:rPr>
        <w:t xml:space="preserve">amending </w:t>
      </w:r>
      <w:r w:rsidRPr="009B350F">
        <w:rPr>
          <w:rFonts w:ascii="Arial" w:hAnsi="Arial" w:cs="Arial"/>
          <w:b/>
          <w:caps/>
          <w:color w:val="000002"/>
        </w:rPr>
        <w:t xml:space="preserve">Chapter </w:t>
      </w:r>
      <w:r>
        <w:rPr>
          <w:rFonts w:ascii="Arial" w:hAnsi="Arial" w:cs="Arial"/>
          <w:b/>
          <w:caps/>
          <w:color w:val="000002"/>
        </w:rPr>
        <w:t>92</w:t>
      </w:r>
      <w:r w:rsidRPr="009B350F">
        <w:rPr>
          <w:rFonts w:ascii="Arial" w:hAnsi="Arial" w:cs="Arial"/>
          <w:b/>
          <w:caps/>
          <w:color w:val="000002"/>
        </w:rPr>
        <w:t>, “</w:t>
      </w:r>
      <w:r>
        <w:rPr>
          <w:rFonts w:ascii="Arial" w:hAnsi="Arial" w:cs="Arial"/>
          <w:b/>
          <w:caps/>
          <w:color w:val="000002"/>
        </w:rPr>
        <w:t>ZONING</w:t>
      </w:r>
      <w:r w:rsidRPr="009B350F">
        <w:rPr>
          <w:rFonts w:ascii="Arial" w:hAnsi="Arial" w:cs="Arial"/>
          <w:b/>
          <w:caps/>
          <w:color w:val="000002"/>
        </w:rPr>
        <w:t xml:space="preserve">,” </w:t>
      </w:r>
      <w:r>
        <w:rPr>
          <w:rFonts w:ascii="Arial" w:hAnsi="Arial" w:cs="Arial"/>
          <w:b/>
          <w:caps/>
          <w:color w:val="000002"/>
        </w:rPr>
        <w:t xml:space="preserve">article XII, “Schedule of regulations,” section 92-55, “B-1 general business zone,” of the code of the borough of bloomingdale </w:t>
      </w:r>
    </w:p>
    <w:p w:rsidR="00755941" w:rsidRPr="002077F3" w:rsidRDefault="00755941" w:rsidP="00D008DB">
      <w:pPr>
        <w:spacing w:after="0" w:line="240" w:lineRule="auto"/>
        <w:jc w:val="both"/>
        <w:rPr>
          <w:rFonts w:ascii="Arial" w:hAnsi="Arial" w:cs="Arial"/>
        </w:rPr>
      </w:pPr>
    </w:p>
    <w:p w:rsidR="00755941" w:rsidRDefault="00755941"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xml:space="preserve">, by the Mayor and Borough Council of the Borough of Bloomingdale, in the </w:t>
      </w:r>
      <w:smartTag w:uri="urn:schemas-microsoft-com:office:smarttags" w:element="PlaceType">
        <w:r w:rsidRPr="00CB1B45">
          <w:rPr>
            <w:rFonts w:ascii="Arial" w:hAnsi="Arial" w:cs="Arial"/>
          </w:rPr>
          <w:t>County</w:t>
        </w:r>
      </w:smartTag>
      <w:r w:rsidRPr="00CB1B45">
        <w:rPr>
          <w:rFonts w:ascii="Arial" w:hAnsi="Arial" w:cs="Arial"/>
        </w:rPr>
        <w:t xml:space="preserve"> of </w:t>
      </w:r>
      <w:smartTag w:uri="urn:schemas-microsoft-com:office:smarttags" w:element="PlaceName">
        <w:r w:rsidRPr="00CB1B45">
          <w:rPr>
            <w:rFonts w:ascii="Arial" w:hAnsi="Arial" w:cs="Arial"/>
          </w:rPr>
          <w:t>Passaic</w:t>
        </w:r>
      </w:smartTag>
      <w:r w:rsidRPr="00CB1B45">
        <w:rPr>
          <w:rFonts w:ascii="Arial" w:hAnsi="Arial" w:cs="Arial"/>
        </w:rPr>
        <w:t xml:space="preserve"> and State of </w:t>
      </w:r>
      <w:smartTag w:uri="urn:schemas-microsoft-com:office:smarttags" w:element="State">
        <w:smartTag w:uri="urn:schemas-microsoft-com:office:smarttags" w:element="place">
          <w:r w:rsidRPr="00CB1B45">
            <w:rPr>
              <w:rFonts w:ascii="Arial" w:hAnsi="Arial" w:cs="Arial"/>
            </w:rPr>
            <w:t>New Jersey</w:t>
          </w:r>
        </w:smartTag>
      </w:smartTag>
      <w:r w:rsidRPr="00CB1B45">
        <w:rPr>
          <w:rFonts w:ascii="Arial" w:hAnsi="Arial" w:cs="Arial"/>
        </w:rPr>
        <w:t>, as follows:</w:t>
      </w:r>
    </w:p>
    <w:p w:rsidR="00755941" w:rsidRDefault="00755941" w:rsidP="00814CE2">
      <w:pPr>
        <w:spacing w:after="0" w:line="240" w:lineRule="auto"/>
        <w:jc w:val="both"/>
        <w:rPr>
          <w:rFonts w:ascii="Arial" w:hAnsi="Arial" w:cs="Arial"/>
          <w:b/>
        </w:rPr>
      </w:pPr>
    </w:p>
    <w:p w:rsidR="00755941" w:rsidRDefault="00755941"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Zoning,” Article XII, “Schedule of Regulations,” Section</w:t>
      </w:r>
      <w:r w:rsidRPr="007C31C1">
        <w:rPr>
          <w:rFonts w:ascii="Arial" w:hAnsi="Arial" w:cs="Arial"/>
        </w:rPr>
        <w:t xml:space="preserve"> </w:t>
      </w:r>
      <w:r>
        <w:rPr>
          <w:rFonts w:ascii="Arial" w:hAnsi="Arial" w:cs="Arial"/>
        </w:rPr>
        <w:t>92-55, “B-1 General Business Zone,” of the Code of the Borough of Bloomingdale is hereby amended to read in its entirety as follows:</w:t>
      </w:r>
    </w:p>
    <w:p w:rsidR="00755941" w:rsidRDefault="00755941" w:rsidP="002C7FBA">
      <w:pPr>
        <w:spacing w:after="0" w:line="240" w:lineRule="auto"/>
        <w:jc w:val="both"/>
        <w:rPr>
          <w:rFonts w:ascii="Arial" w:hAnsi="Arial" w:cs="Arial"/>
        </w:rPr>
      </w:pPr>
    </w:p>
    <w:p w:rsidR="00755941" w:rsidRPr="00BE064F" w:rsidRDefault="00755941" w:rsidP="00BE064F">
      <w:pPr>
        <w:pStyle w:val="Heading3"/>
        <w:rPr>
          <w:rFonts w:ascii="Arial" w:hAnsi="Arial" w:cs="Arial"/>
          <w:sz w:val="22"/>
          <w:szCs w:val="22"/>
          <w:u w:val="single"/>
        </w:rPr>
      </w:pPr>
      <w:bookmarkStart w:id="0" w:name="_CPA14"/>
      <w:r w:rsidRPr="00BE064F">
        <w:rPr>
          <w:rFonts w:ascii="Arial" w:hAnsi="Arial" w:cs="Arial"/>
          <w:sz w:val="22"/>
          <w:szCs w:val="22"/>
          <w:u w:val="single"/>
        </w:rPr>
        <w:t>§ 92-55.</w:t>
      </w:r>
      <w:r w:rsidRPr="00BE064F">
        <w:rPr>
          <w:rFonts w:ascii="Arial" w:hAnsi="Arial" w:cs="Arial"/>
          <w:sz w:val="22"/>
          <w:szCs w:val="22"/>
          <w:u w:val="single"/>
        </w:rPr>
        <w:tab/>
        <w:t>B-1 General Business Zone.</w:t>
      </w:r>
    </w:p>
    <w:p w:rsidR="00755941" w:rsidRPr="00BE064F" w:rsidRDefault="00755941" w:rsidP="00BE064F">
      <w:pPr>
        <w:pStyle w:val="Heading3"/>
        <w:rPr>
          <w:rFonts w:ascii="Arial" w:hAnsi="Arial" w:cs="Arial"/>
          <w:sz w:val="22"/>
          <w:szCs w:val="22"/>
        </w:rPr>
      </w:pPr>
    </w:p>
    <w:p w:rsidR="00755941" w:rsidRPr="00BE064F" w:rsidRDefault="00755941" w:rsidP="00BE064F">
      <w:pPr>
        <w:pStyle w:val="HolmdelFormat8"/>
        <w:rPr>
          <w:rFonts w:ascii="Arial" w:hAnsi="Arial" w:cs="Arial"/>
          <w:sz w:val="22"/>
          <w:szCs w:val="22"/>
        </w:rPr>
      </w:pPr>
      <w:r w:rsidRPr="00BE064F">
        <w:rPr>
          <w:rFonts w:ascii="Arial" w:hAnsi="Arial" w:cs="Arial"/>
          <w:sz w:val="22"/>
          <w:szCs w:val="22"/>
        </w:rPr>
        <w:t xml:space="preserve">The following regulations shall apply in the B-1 Zone: </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A.</w:t>
      </w:r>
      <w:r w:rsidRPr="00BE064F">
        <w:rPr>
          <w:rFonts w:ascii="Arial" w:hAnsi="Arial" w:cs="Arial"/>
          <w:sz w:val="22"/>
          <w:szCs w:val="22"/>
        </w:rPr>
        <w:tab/>
        <w:t>Permitted principal uses. (Amended 7-23-2013 by Ord. No. 22-2013)</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Bakery.</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Banks and other financial institutions.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Barbershops and beauty parlors.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w:t>
      </w:r>
      <w:r w:rsidRPr="00BE064F">
        <w:rPr>
          <w:rFonts w:ascii="Arial" w:hAnsi="Arial" w:cs="Arial"/>
          <w:sz w:val="22"/>
          <w:szCs w:val="22"/>
        </w:rPr>
        <w:tab/>
        <w:t>Book and stationery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(5)</w:t>
      </w:r>
      <w:r w:rsidRPr="00BE064F">
        <w:rPr>
          <w:rFonts w:ascii="Arial" w:hAnsi="Arial" w:cs="Arial"/>
          <w:sz w:val="22"/>
          <w:szCs w:val="22"/>
        </w:rPr>
        <w:tab/>
        <w:t>Business schools.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(6)</w:t>
      </w:r>
      <w:r w:rsidRPr="00BE064F">
        <w:rPr>
          <w:rFonts w:ascii="Arial" w:hAnsi="Arial" w:cs="Arial"/>
          <w:sz w:val="22"/>
          <w:szCs w:val="22"/>
        </w:rPr>
        <w:tab/>
        <w:t>Cigar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(7)</w:t>
      </w:r>
      <w:r w:rsidRPr="00BE064F">
        <w:rPr>
          <w:rFonts w:ascii="Arial" w:hAnsi="Arial" w:cs="Arial"/>
          <w:sz w:val="22"/>
          <w:szCs w:val="22"/>
        </w:rPr>
        <w:tab/>
        <w:t>Clothing and clothing accessory shops.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(8)</w:t>
      </w:r>
      <w:r w:rsidRPr="00BE064F">
        <w:rPr>
          <w:rFonts w:ascii="Arial" w:hAnsi="Arial" w:cs="Arial"/>
          <w:sz w:val="22"/>
          <w:szCs w:val="22"/>
        </w:rPr>
        <w:tab/>
        <w:t>Pharmacies.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(9)</w:t>
      </w:r>
      <w:r w:rsidRPr="00BE064F">
        <w:rPr>
          <w:rFonts w:ascii="Arial" w:hAnsi="Arial" w:cs="Arial"/>
          <w:sz w:val="22"/>
          <w:szCs w:val="22"/>
        </w:rPr>
        <w:tab/>
        <w:t>Dry-cleaning provided that no flammable cleaning agents are used.</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(10)</w:t>
      </w:r>
      <w:r w:rsidRPr="00BE064F">
        <w:rPr>
          <w:rFonts w:ascii="Arial" w:hAnsi="Arial" w:cs="Arial"/>
          <w:sz w:val="22"/>
          <w:szCs w:val="22"/>
        </w:rPr>
        <w:tab/>
        <w:t>Convenience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(11)</w:t>
      </w:r>
      <w:r w:rsidRPr="00BE064F">
        <w:rPr>
          <w:rFonts w:ascii="Arial" w:hAnsi="Arial" w:cs="Arial"/>
          <w:sz w:val="22"/>
          <w:szCs w:val="22"/>
        </w:rPr>
        <w:tab/>
        <w:t>Eating and drinking places.</w:t>
      </w:r>
    </w:p>
    <w:p w:rsidR="00755941" w:rsidRPr="00BE064F" w:rsidRDefault="00755941" w:rsidP="00BE064F">
      <w:pPr>
        <w:pStyle w:val="HolmdelIndent1"/>
        <w:jc w:val="left"/>
        <w:rPr>
          <w:rFonts w:ascii="Arial" w:hAnsi="Arial" w:cs="Arial"/>
          <w:sz w:val="22"/>
          <w:szCs w:val="22"/>
        </w:rPr>
      </w:pPr>
      <w:r w:rsidRPr="00BE064F">
        <w:rPr>
          <w:rFonts w:ascii="Arial" w:hAnsi="Arial" w:cs="Arial"/>
          <w:sz w:val="22"/>
          <w:szCs w:val="22"/>
        </w:rPr>
        <w:tab/>
        <w:t>(12)</w:t>
      </w:r>
      <w:r w:rsidRPr="00BE064F">
        <w:rPr>
          <w:rFonts w:ascii="Arial" w:hAnsi="Arial" w:cs="Arial"/>
          <w:sz w:val="22"/>
          <w:szCs w:val="22"/>
        </w:rPr>
        <w:tab/>
        <w:t>Electric substations, including transformers, switches and auxiliary apparatus, serving a distribution area.</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(13)</w:t>
      </w:r>
      <w:r w:rsidRPr="00BE064F">
        <w:rPr>
          <w:rFonts w:ascii="Arial" w:hAnsi="Arial" w:cs="Arial"/>
          <w:sz w:val="22"/>
          <w:szCs w:val="22"/>
        </w:rPr>
        <w:tab/>
        <w:t>Electricians.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(14)</w:t>
      </w:r>
      <w:r w:rsidRPr="00BE064F">
        <w:rPr>
          <w:rFonts w:ascii="Arial" w:hAnsi="Arial" w:cs="Arial"/>
          <w:sz w:val="22"/>
          <w:szCs w:val="22"/>
        </w:rPr>
        <w:tab/>
        <w:t>Fire and police stations.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(15)</w:t>
      </w:r>
      <w:r w:rsidRPr="00BE064F">
        <w:rPr>
          <w:rFonts w:ascii="Arial" w:hAnsi="Arial" w:cs="Arial"/>
          <w:sz w:val="22"/>
          <w:szCs w:val="22"/>
        </w:rPr>
        <w:tab/>
        <w:t>Florists.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(16)</w:t>
      </w:r>
      <w:r w:rsidRPr="00BE064F">
        <w:rPr>
          <w:rFonts w:ascii="Arial" w:hAnsi="Arial" w:cs="Arial"/>
          <w:sz w:val="22"/>
          <w:szCs w:val="22"/>
        </w:rPr>
        <w:tab/>
        <w:t>Food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(17)</w:t>
      </w:r>
      <w:r w:rsidRPr="00BE064F">
        <w:rPr>
          <w:rFonts w:ascii="Arial" w:hAnsi="Arial" w:cs="Arial"/>
          <w:sz w:val="22"/>
          <w:szCs w:val="22"/>
        </w:rPr>
        <w:tab/>
        <w:t>Furniture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(18)</w:t>
      </w:r>
      <w:r w:rsidRPr="00BE064F">
        <w:rPr>
          <w:rFonts w:ascii="Arial" w:hAnsi="Arial" w:cs="Arial"/>
          <w:sz w:val="22"/>
          <w:szCs w:val="22"/>
        </w:rPr>
        <w:tab/>
        <w:t>Hardware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(19)</w:t>
      </w:r>
      <w:r w:rsidRPr="00BE064F">
        <w:rPr>
          <w:rFonts w:ascii="Arial" w:hAnsi="Arial" w:cs="Arial"/>
          <w:sz w:val="22"/>
          <w:szCs w:val="22"/>
        </w:rPr>
        <w:tab/>
        <w:t>Household-appliance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lastRenderedPageBreak/>
        <w:tab/>
        <w:t>(20)</w:t>
      </w:r>
      <w:r w:rsidRPr="00BE064F">
        <w:rPr>
          <w:rFonts w:ascii="Arial" w:hAnsi="Arial" w:cs="Arial"/>
          <w:sz w:val="22"/>
          <w:szCs w:val="22"/>
        </w:rPr>
        <w:tab/>
        <w:t>Interior-decorating shops.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(21)</w:t>
      </w:r>
      <w:r w:rsidRPr="00BE064F">
        <w:rPr>
          <w:rFonts w:ascii="Arial" w:hAnsi="Arial" w:cs="Arial"/>
          <w:sz w:val="22"/>
          <w:szCs w:val="22"/>
        </w:rPr>
        <w:tab/>
        <w:t>Printing.</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(22)</w:t>
      </w:r>
      <w:r w:rsidRPr="00BE064F">
        <w:rPr>
          <w:rFonts w:ascii="Arial" w:hAnsi="Arial" w:cs="Arial"/>
          <w:sz w:val="22"/>
          <w:szCs w:val="22"/>
        </w:rPr>
        <w:tab/>
        <w:t>Laundries, hand or automatic, self-service.</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(23)</w:t>
      </w:r>
      <w:r w:rsidRPr="00BE064F">
        <w:rPr>
          <w:rFonts w:ascii="Arial" w:hAnsi="Arial" w:cs="Arial"/>
          <w:sz w:val="22"/>
          <w:szCs w:val="22"/>
        </w:rPr>
        <w:tab/>
        <w:t>Leather goods.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(24)</w:t>
      </w:r>
      <w:r w:rsidRPr="00BE064F">
        <w:rPr>
          <w:rFonts w:ascii="Arial" w:hAnsi="Arial" w:cs="Arial"/>
          <w:sz w:val="22"/>
          <w:szCs w:val="22"/>
        </w:rPr>
        <w:tab/>
        <w:t>Locksmiths.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(25)</w:t>
      </w:r>
      <w:r w:rsidRPr="00BE064F">
        <w:rPr>
          <w:rFonts w:ascii="Arial" w:hAnsi="Arial" w:cs="Arial"/>
          <w:sz w:val="22"/>
          <w:szCs w:val="22"/>
        </w:rPr>
        <w:tab/>
        <w:t>Appliance and electronics.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(26)</w:t>
      </w:r>
      <w:r w:rsidRPr="00BE064F">
        <w:rPr>
          <w:rFonts w:ascii="Arial" w:hAnsi="Arial" w:cs="Arial"/>
          <w:sz w:val="22"/>
          <w:szCs w:val="22"/>
        </w:rPr>
        <w:tab/>
        <w:t>Newspapers.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(27)</w:t>
      </w:r>
      <w:r w:rsidRPr="00BE064F">
        <w:rPr>
          <w:rFonts w:ascii="Arial" w:hAnsi="Arial" w:cs="Arial"/>
          <w:sz w:val="22"/>
          <w:szCs w:val="22"/>
        </w:rPr>
        <w:tab/>
        <w:t>Business, professional and governmental offices.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(28)</w:t>
      </w:r>
      <w:r w:rsidRPr="00BE064F">
        <w:rPr>
          <w:rFonts w:ascii="Arial" w:hAnsi="Arial" w:cs="Arial"/>
          <w:sz w:val="22"/>
          <w:szCs w:val="22"/>
        </w:rPr>
        <w:tab/>
        <w:t>Package liquor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(29)</w:t>
      </w:r>
      <w:r w:rsidRPr="00BE064F">
        <w:rPr>
          <w:rFonts w:ascii="Arial" w:hAnsi="Arial" w:cs="Arial"/>
          <w:sz w:val="22"/>
          <w:szCs w:val="22"/>
        </w:rPr>
        <w:tab/>
        <w:t>Paint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(30)</w:t>
      </w:r>
      <w:r w:rsidRPr="00BE064F">
        <w:rPr>
          <w:rFonts w:ascii="Arial" w:hAnsi="Arial" w:cs="Arial"/>
          <w:sz w:val="22"/>
          <w:szCs w:val="22"/>
        </w:rPr>
        <w:tab/>
        <w:t>Commercial and public parking lots and garages for automobiles and trucks.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(31)</w:t>
      </w:r>
      <w:r w:rsidRPr="00BE064F">
        <w:rPr>
          <w:rFonts w:ascii="Arial" w:hAnsi="Arial" w:cs="Arial"/>
          <w:sz w:val="22"/>
          <w:szCs w:val="22"/>
        </w:rPr>
        <w:tab/>
        <w:t>Pet shops.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(32)</w:t>
      </w:r>
      <w:r w:rsidRPr="00BE064F">
        <w:rPr>
          <w:rFonts w:ascii="Arial" w:hAnsi="Arial" w:cs="Arial"/>
          <w:sz w:val="22"/>
          <w:szCs w:val="22"/>
        </w:rPr>
        <w:tab/>
        <w:t>Photographic studios.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(33)</w:t>
      </w:r>
      <w:r w:rsidRPr="00BE064F">
        <w:rPr>
          <w:rFonts w:ascii="Arial" w:hAnsi="Arial" w:cs="Arial"/>
          <w:sz w:val="22"/>
          <w:szCs w:val="22"/>
        </w:rPr>
        <w:tab/>
        <w:t>Physical therapy and health services.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(34)</w:t>
      </w:r>
      <w:r w:rsidRPr="00BE064F">
        <w:rPr>
          <w:rFonts w:ascii="Arial" w:hAnsi="Arial" w:cs="Arial"/>
          <w:sz w:val="22"/>
          <w:szCs w:val="22"/>
        </w:rPr>
        <w:tab/>
        <w:t>Plumbers.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(35)</w:t>
      </w:r>
      <w:r w:rsidRPr="00BE064F">
        <w:rPr>
          <w:rFonts w:ascii="Arial" w:hAnsi="Arial" w:cs="Arial"/>
          <w:sz w:val="22"/>
          <w:szCs w:val="22"/>
        </w:rPr>
        <w:tab/>
        <w:t>Post offices.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(36)</w:t>
      </w:r>
      <w:r w:rsidRPr="00BE064F">
        <w:rPr>
          <w:rFonts w:ascii="Arial" w:hAnsi="Arial" w:cs="Arial"/>
          <w:sz w:val="22"/>
          <w:szCs w:val="22"/>
        </w:rPr>
        <w:tab/>
        <w:t>Sporting and athletic goods stores.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(37)</w:t>
      </w:r>
      <w:r w:rsidRPr="00BE064F">
        <w:rPr>
          <w:rFonts w:ascii="Arial" w:hAnsi="Arial" w:cs="Arial"/>
          <w:sz w:val="22"/>
          <w:szCs w:val="22"/>
        </w:rPr>
        <w:tab/>
        <w:t>Music and dancing studios.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(38)</w:t>
      </w:r>
      <w:r w:rsidRPr="00BE064F">
        <w:rPr>
          <w:rFonts w:ascii="Arial" w:hAnsi="Arial" w:cs="Arial"/>
          <w:sz w:val="22"/>
          <w:szCs w:val="22"/>
        </w:rPr>
        <w:tab/>
        <w:t>Custom tailors and furriers.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(39)</w:t>
      </w:r>
      <w:r w:rsidRPr="00BE064F">
        <w:rPr>
          <w:rFonts w:ascii="Arial" w:hAnsi="Arial" w:cs="Arial"/>
          <w:sz w:val="22"/>
          <w:szCs w:val="22"/>
        </w:rPr>
        <w:tab/>
        <w:t>Theaters.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(40)</w:t>
      </w:r>
      <w:r w:rsidRPr="00BE064F">
        <w:rPr>
          <w:rFonts w:ascii="Arial" w:hAnsi="Arial" w:cs="Arial"/>
          <w:sz w:val="22"/>
          <w:szCs w:val="22"/>
        </w:rPr>
        <w:tab/>
        <w:t>Undertakers and funeral parlors.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(41)</w:t>
      </w:r>
      <w:r w:rsidRPr="00BE064F">
        <w:rPr>
          <w:rFonts w:ascii="Arial" w:hAnsi="Arial" w:cs="Arial"/>
          <w:sz w:val="22"/>
          <w:szCs w:val="22"/>
        </w:rPr>
        <w:tab/>
        <w:t>Upholsterers.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(42)</w:t>
      </w:r>
      <w:r w:rsidRPr="00BE064F">
        <w:rPr>
          <w:rFonts w:ascii="Arial" w:hAnsi="Arial" w:cs="Arial"/>
          <w:sz w:val="22"/>
          <w:szCs w:val="22"/>
        </w:rPr>
        <w:tab/>
        <w:t>Variety shops.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(43)</w:t>
      </w:r>
      <w:r w:rsidRPr="00BE064F">
        <w:rPr>
          <w:rFonts w:ascii="Arial" w:hAnsi="Arial" w:cs="Arial"/>
          <w:sz w:val="22"/>
          <w:szCs w:val="22"/>
        </w:rPr>
        <w:tab/>
        <w:t>Water- and sewer-pumping stations serving a local area.</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(44)</w:t>
      </w:r>
      <w:r w:rsidRPr="00BE064F">
        <w:rPr>
          <w:rFonts w:ascii="Arial" w:hAnsi="Arial" w:cs="Arial"/>
          <w:sz w:val="22"/>
          <w:szCs w:val="22"/>
        </w:rPr>
        <w:tab/>
        <w:t>Other similar retail and service uses.</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B.</w:t>
      </w:r>
      <w:r w:rsidRPr="00BE064F">
        <w:rPr>
          <w:rFonts w:ascii="Arial" w:hAnsi="Arial" w:cs="Arial"/>
          <w:sz w:val="22"/>
          <w:szCs w:val="22"/>
        </w:rPr>
        <w:tab/>
        <w:t>Accessory permitted uses. (See §§ 92-16 and 92-17)</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 xml:space="preserve">Private parking and loading. (See §§ 92-22A and 92-22B) </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Signs as regulated in § 92-26D and § 92-26.3P.</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Other accessory uses customarily appurtenant to a permitted use.</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C.</w:t>
      </w:r>
      <w:r w:rsidRPr="00BE064F">
        <w:rPr>
          <w:rFonts w:ascii="Arial" w:hAnsi="Arial" w:cs="Arial"/>
          <w:sz w:val="22"/>
          <w:szCs w:val="22"/>
        </w:rPr>
        <w:tab/>
        <w:t>Conditional uses to be acted upon by the Planning Board, subject to § 92-24.</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Automobile service stations, including major repairs. (See § 92-22E)</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Automobile sales.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Motor vehicle repairs, including paint and body shops.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lastRenderedPageBreak/>
        <w:tab/>
        <w:t>(4)</w:t>
      </w:r>
      <w:r w:rsidRPr="00BE064F">
        <w:rPr>
          <w:rFonts w:ascii="Arial" w:hAnsi="Arial" w:cs="Arial"/>
          <w:sz w:val="22"/>
          <w:szCs w:val="22"/>
        </w:rPr>
        <w:tab/>
        <w:t>Hotels and motels.</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(5)</w:t>
      </w:r>
      <w:r w:rsidRPr="00BE064F">
        <w:rPr>
          <w:rFonts w:ascii="Arial" w:hAnsi="Arial" w:cs="Arial"/>
          <w:sz w:val="22"/>
          <w:szCs w:val="22"/>
        </w:rPr>
        <w:tab/>
        <w:t>Bowling alleys and pool halls or billiard parlors.</w:t>
      </w:r>
    </w:p>
    <w:p w:rsidR="00755941" w:rsidRDefault="00755941" w:rsidP="00BE064F">
      <w:pPr>
        <w:pStyle w:val="HolmdelIndent1"/>
        <w:rPr>
          <w:rFonts w:ascii="Arial" w:hAnsi="Arial" w:cs="Arial"/>
          <w:sz w:val="22"/>
          <w:szCs w:val="22"/>
        </w:rPr>
      </w:pPr>
      <w:r w:rsidRPr="00BE064F">
        <w:rPr>
          <w:rFonts w:ascii="Arial" w:hAnsi="Arial" w:cs="Arial"/>
          <w:sz w:val="22"/>
          <w:szCs w:val="22"/>
        </w:rPr>
        <w:tab/>
        <w:t>(6)</w:t>
      </w:r>
      <w:r w:rsidRPr="00BE064F">
        <w:rPr>
          <w:rFonts w:ascii="Arial" w:hAnsi="Arial" w:cs="Arial"/>
          <w:sz w:val="22"/>
          <w:szCs w:val="22"/>
        </w:rPr>
        <w:tab/>
        <w:t>Social halls, lodges, fraternal organizations and clubs.</w:t>
      </w:r>
    </w:p>
    <w:p w:rsidR="00755941" w:rsidRPr="00BE064F" w:rsidRDefault="00755941" w:rsidP="00BE064F">
      <w:pPr>
        <w:pStyle w:val="HolmdelIndent1"/>
        <w:rPr>
          <w:rFonts w:ascii="Arial" w:hAnsi="Arial" w:cs="Arial"/>
          <w:sz w:val="22"/>
          <w:szCs w:val="22"/>
        </w:rPr>
      </w:pPr>
      <w:r>
        <w:rPr>
          <w:rFonts w:ascii="Arial" w:hAnsi="Arial" w:cs="Arial"/>
          <w:sz w:val="22"/>
          <w:szCs w:val="22"/>
        </w:rPr>
        <w:tab/>
        <w:t>(7) Dwelling units above permitted business uses.</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D.</w:t>
      </w:r>
      <w:r w:rsidRPr="00BE064F">
        <w:rPr>
          <w:rFonts w:ascii="Arial" w:hAnsi="Arial" w:cs="Arial"/>
          <w:sz w:val="22"/>
          <w:szCs w:val="22"/>
        </w:rPr>
        <w:tab/>
        <w:t>Minimum lot size. (See Article IV)</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Minimum lot area: five thousand (5,000) square feet.</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Minimum lot frontage: none.</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Minimum lot depth: none.</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E.</w:t>
      </w:r>
      <w:r w:rsidRPr="00BE064F">
        <w:rPr>
          <w:rFonts w:ascii="Arial" w:hAnsi="Arial" w:cs="Arial"/>
          <w:sz w:val="22"/>
          <w:szCs w:val="22"/>
        </w:rPr>
        <w:tab/>
        <w:t>Yards and lot coverage. Minimum yard dimensions for principal structures shall be as follows. (See Article IV and § 92-14.)</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Front yard: none.</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Side yard: All B-1 Zone uses may be built without side yards, except that where the B-1 Zone adjoins a residence district there shall be a minimum side yard of ten (10) feet.</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Rear yard: ten (10) feet.</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F.</w:t>
      </w:r>
      <w:r w:rsidRPr="00BE064F">
        <w:rPr>
          <w:rFonts w:ascii="Arial" w:hAnsi="Arial" w:cs="Arial"/>
          <w:sz w:val="22"/>
          <w:szCs w:val="22"/>
        </w:rPr>
        <w:tab/>
        <w:t xml:space="preserve">Maximum improved lot coverage: exempt. (Ord. No 2-2006) </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G.</w:t>
      </w:r>
      <w:r w:rsidRPr="00BE064F">
        <w:rPr>
          <w:rFonts w:ascii="Arial" w:hAnsi="Arial" w:cs="Arial"/>
          <w:sz w:val="22"/>
          <w:szCs w:val="22"/>
        </w:rPr>
        <w:tab/>
        <w:t>Maximum building coverage: exempt. (Ord. No 2-2006)</w:t>
      </w:r>
    </w:p>
    <w:p w:rsidR="00755941" w:rsidRPr="00BE064F" w:rsidRDefault="00755941" w:rsidP="00BE064F">
      <w:pPr>
        <w:pStyle w:val="HolmdelIndentA0"/>
        <w:rPr>
          <w:rFonts w:ascii="Arial" w:hAnsi="Arial" w:cs="Arial"/>
          <w:sz w:val="22"/>
          <w:szCs w:val="22"/>
        </w:rPr>
      </w:pPr>
      <w:r w:rsidRPr="00BE064F">
        <w:rPr>
          <w:rFonts w:ascii="Arial" w:hAnsi="Arial" w:cs="Arial"/>
          <w:sz w:val="22"/>
          <w:szCs w:val="22"/>
        </w:rPr>
        <w:t>H.</w:t>
      </w:r>
      <w:r w:rsidRPr="00BE064F">
        <w:rPr>
          <w:rFonts w:ascii="Arial" w:hAnsi="Arial" w:cs="Arial"/>
          <w:sz w:val="22"/>
          <w:szCs w:val="22"/>
        </w:rPr>
        <w:tab/>
        <w:t>Maximum building height for principal structures. (See Article IV)</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Feet: thirty (30).</w:t>
      </w:r>
    </w:p>
    <w:p w:rsidR="00755941" w:rsidRPr="00BE064F" w:rsidRDefault="00755941"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Stories: two (2).</w:t>
      </w:r>
    </w:p>
    <w:p w:rsidR="00755941" w:rsidRPr="00BE064F" w:rsidRDefault="00755941" w:rsidP="00BE064F">
      <w:pPr>
        <w:pStyle w:val="HolmdelIndentA0"/>
        <w:spacing w:after="0"/>
        <w:rPr>
          <w:rFonts w:ascii="Arial" w:hAnsi="Arial" w:cs="Arial"/>
          <w:sz w:val="22"/>
          <w:szCs w:val="22"/>
        </w:rPr>
      </w:pPr>
      <w:r w:rsidRPr="00BE064F">
        <w:rPr>
          <w:rFonts w:ascii="Arial" w:hAnsi="Arial" w:cs="Arial"/>
          <w:sz w:val="22"/>
          <w:szCs w:val="22"/>
        </w:rPr>
        <w:t>I.</w:t>
      </w:r>
      <w:r w:rsidRPr="00BE064F">
        <w:rPr>
          <w:rFonts w:ascii="Arial" w:hAnsi="Arial" w:cs="Arial"/>
          <w:sz w:val="22"/>
          <w:szCs w:val="22"/>
        </w:rPr>
        <w:tab/>
        <w:t>Required parking and loading spaces. Also see § 92-22A to D(5). (Amended 7-23-2013 by Ord. No. 22-2013)</w:t>
      </w:r>
    </w:p>
    <w:p w:rsidR="00755941" w:rsidRPr="00BE064F" w:rsidRDefault="00755941" w:rsidP="00BE064F">
      <w:pPr>
        <w:pStyle w:val="HolmdelIndentA0"/>
        <w:spacing w:after="0"/>
        <w:rPr>
          <w:rFonts w:ascii="Arial" w:hAnsi="Arial" w:cs="Arial"/>
          <w:sz w:val="22"/>
          <w:szCs w:val="22"/>
        </w:rPr>
      </w:pPr>
    </w:p>
    <w:p w:rsidR="00755941" w:rsidRPr="00BE064F" w:rsidRDefault="00755941" w:rsidP="00BE064F">
      <w:pPr>
        <w:pStyle w:val="HolmdelFormat8"/>
        <w:ind w:left="450"/>
        <w:jc w:val="center"/>
        <w:rPr>
          <w:rFonts w:ascii="Arial" w:hAnsi="Arial" w:cs="Arial"/>
          <w:b/>
          <w:sz w:val="22"/>
          <w:szCs w:val="22"/>
        </w:rPr>
      </w:pPr>
      <w:r w:rsidRPr="00BE064F">
        <w:rPr>
          <w:rFonts w:ascii="Arial" w:hAnsi="Arial" w:cs="Arial"/>
          <w:b/>
          <w:sz w:val="22"/>
          <w:szCs w:val="22"/>
        </w:rPr>
        <w:t>B-1 Zone On-Street/Off-Street Parking and Off-Street Loading</w:t>
      </w:r>
      <w:r>
        <w:rPr>
          <w:rFonts w:ascii="Arial" w:hAnsi="Arial" w:cs="Arial"/>
          <w:b/>
          <w:sz w:val="22"/>
          <w:szCs w:val="22"/>
        </w:rPr>
        <w:br/>
      </w:r>
    </w:p>
    <w:tbl>
      <w:tblPr>
        <w:tblW w:w="9700" w:type="dxa"/>
        <w:tblInd w:w="93" w:type="dxa"/>
        <w:tblLook w:val="0000" w:firstRow="0" w:lastRow="0" w:firstColumn="0" w:lastColumn="0" w:noHBand="0" w:noVBand="0"/>
      </w:tblPr>
      <w:tblGrid>
        <w:gridCol w:w="3780"/>
        <w:gridCol w:w="5920"/>
      </w:tblGrid>
      <w:tr w:rsidR="00755941" w:rsidRPr="00F50852" w:rsidTr="00F50852">
        <w:trPr>
          <w:trHeight w:val="300"/>
        </w:trPr>
        <w:tc>
          <w:tcPr>
            <w:tcW w:w="3780" w:type="dxa"/>
            <w:tcBorders>
              <w:top w:val="single" w:sz="4" w:space="0" w:color="auto"/>
              <w:left w:val="single" w:sz="4" w:space="0" w:color="auto"/>
              <w:bottom w:val="single" w:sz="4" w:space="0" w:color="auto"/>
              <w:right w:val="single" w:sz="4" w:space="0" w:color="auto"/>
            </w:tcBorders>
          </w:tcPr>
          <w:p w:rsidR="00755941" w:rsidRPr="00F50852" w:rsidRDefault="00755941" w:rsidP="00F50852">
            <w:pPr>
              <w:spacing w:after="0" w:line="240" w:lineRule="auto"/>
              <w:jc w:val="both"/>
              <w:rPr>
                <w:rFonts w:ascii="Arial" w:hAnsi="Arial" w:cs="Arial"/>
                <w:b/>
                <w:bCs/>
              </w:rPr>
            </w:pPr>
            <w:r w:rsidRPr="00F50852">
              <w:rPr>
                <w:rFonts w:ascii="Arial" w:hAnsi="Arial" w:cs="Arial"/>
                <w:b/>
                <w:bCs/>
              </w:rPr>
              <w:t>Use</w:t>
            </w:r>
          </w:p>
        </w:tc>
        <w:tc>
          <w:tcPr>
            <w:tcW w:w="5920" w:type="dxa"/>
            <w:tcBorders>
              <w:top w:val="single" w:sz="4" w:space="0" w:color="auto"/>
              <w:left w:val="nil"/>
              <w:bottom w:val="single" w:sz="4" w:space="0" w:color="auto"/>
              <w:right w:val="single" w:sz="4" w:space="0" w:color="auto"/>
            </w:tcBorders>
          </w:tcPr>
          <w:p w:rsidR="00755941" w:rsidRPr="00F50852" w:rsidRDefault="00755941" w:rsidP="00F50852">
            <w:pPr>
              <w:spacing w:after="0" w:line="240" w:lineRule="auto"/>
              <w:jc w:val="both"/>
              <w:rPr>
                <w:rFonts w:ascii="Arial" w:hAnsi="Arial" w:cs="Arial"/>
                <w:b/>
                <w:bCs/>
              </w:rPr>
            </w:pPr>
            <w:r w:rsidRPr="00F50852">
              <w:rPr>
                <w:rFonts w:ascii="Arial" w:hAnsi="Arial" w:cs="Arial"/>
                <w:b/>
                <w:bCs/>
              </w:rPr>
              <w:t>Minimum Parking</w:t>
            </w:r>
          </w:p>
        </w:tc>
      </w:tr>
      <w:tr w:rsidR="00755941" w:rsidRPr="00F50852" w:rsidTr="00F50852">
        <w:trPr>
          <w:trHeight w:val="285"/>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Funeral homes and mortuaries</w:t>
            </w:r>
          </w:p>
        </w:tc>
        <w:tc>
          <w:tcPr>
            <w:tcW w:w="5920" w:type="dxa"/>
            <w:tcBorders>
              <w:top w:val="nil"/>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10 per parlor.</w:t>
            </w:r>
          </w:p>
        </w:tc>
      </w:tr>
      <w:tr w:rsidR="00755941" w:rsidRPr="00F50852" w:rsidTr="00F50852">
        <w:trPr>
          <w:trHeight w:val="1025"/>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 xml:space="preserve">Retail stores, store groups, shops, consumer services, </w:t>
            </w:r>
            <w:proofErr w:type="spellStart"/>
            <w:r w:rsidRPr="00F50852">
              <w:rPr>
                <w:rFonts w:ascii="Arial" w:hAnsi="Arial" w:cs="Arial"/>
              </w:rPr>
              <w:t>take out</w:t>
            </w:r>
            <w:proofErr w:type="spellEnd"/>
            <w:r w:rsidRPr="00F50852">
              <w:rPr>
                <w:rFonts w:ascii="Arial" w:hAnsi="Arial" w:cs="Arial"/>
              </w:rPr>
              <w:t xml:space="preserve"> food only, etc.</w:t>
            </w:r>
          </w:p>
        </w:tc>
        <w:tc>
          <w:tcPr>
            <w:tcW w:w="5920" w:type="dxa"/>
            <w:tcBorders>
              <w:top w:val="nil"/>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for each 300 sf of floor area. Minimum 3 spaces.</w:t>
            </w:r>
          </w:p>
        </w:tc>
      </w:tr>
      <w:tr w:rsidR="00755941" w:rsidRPr="00F50852" w:rsidTr="00F50852">
        <w:trPr>
          <w:trHeight w:val="285"/>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Eating/drinking establishments</w:t>
            </w:r>
          </w:p>
        </w:tc>
        <w:tc>
          <w:tcPr>
            <w:tcW w:w="5920" w:type="dxa"/>
            <w:tcBorders>
              <w:top w:val="nil"/>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for each 3 seats. Minimum 5 spaces.</w:t>
            </w:r>
          </w:p>
        </w:tc>
      </w:tr>
      <w:tr w:rsidR="00755941" w:rsidRPr="00F50852" w:rsidTr="00F50852">
        <w:trPr>
          <w:trHeight w:val="570"/>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Medical or dental offices, and other professional offices</w:t>
            </w:r>
          </w:p>
        </w:tc>
        <w:tc>
          <w:tcPr>
            <w:tcW w:w="5920" w:type="dxa"/>
            <w:tcBorders>
              <w:top w:val="nil"/>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4 for each professional occupant.</w:t>
            </w:r>
          </w:p>
        </w:tc>
      </w:tr>
      <w:tr w:rsidR="00755941" w:rsidRPr="00F50852" w:rsidTr="00F50852">
        <w:trPr>
          <w:trHeight w:val="285"/>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General business office</w:t>
            </w:r>
          </w:p>
        </w:tc>
        <w:tc>
          <w:tcPr>
            <w:tcW w:w="5920" w:type="dxa"/>
            <w:tcBorders>
              <w:top w:val="nil"/>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for each 300 sf of floor area.</w:t>
            </w:r>
          </w:p>
        </w:tc>
      </w:tr>
      <w:tr w:rsidR="00755941" w:rsidRPr="00F50852" w:rsidTr="002264FC">
        <w:trPr>
          <w:trHeight w:val="285"/>
        </w:trPr>
        <w:tc>
          <w:tcPr>
            <w:tcW w:w="3780" w:type="dxa"/>
            <w:tcBorders>
              <w:top w:val="nil"/>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 xml:space="preserve">Hotels and motels                         </w:t>
            </w:r>
          </w:p>
        </w:tc>
        <w:tc>
          <w:tcPr>
            <w:tcW w:w="5920" w:type="dxa"/>
            <w:tcBorders>
              <w:top w:val="nil"/>
              <w:left w:val="nil"/>
              <w:bottom w:val="single" w:sz="4" w:space="0" w:color="auto"/>
              <w:right w:val="single" w:sz="4" w:space="0" w:color="auto"/>
            </w:tcBorders>
            <w:noWrap/>
          </w:tcPr>
          <w:p w:rsidR="00755941" w:rsidRPr="00F50852" w:rsidRDefault="00755941" w:rsidP="00F50852">
            <w:pPr>
              <w:spacing w:after="0" w:line="240" w:lineRule="auto"/>
              <w:rPr>
                <w:rFonts w:ascii="Arial" w:hAnsi="Arial" w:cs="Arial"/>
              </w:rPr>
            </w:pPr>
            <w:r w:rsidRPr="00F50852">
              <w:rPr>
                <w:rFonts w:ascii="Arial" w:hAnsi="Arial" w:cs="Arial"/>
              </w:rPr>
              <w:t>1 per bedroom, plus 0.5 per employee on the highest shift.</w:t>
            </w:r>
          </w:p>
        </w:tc>
      </w:tr>
      <w:tr w:rsidR="00755941" w:rsidRPr="00F50852" w:rsidTr="002264FC">
        <w:trPr>
          <w:trHeight w:val="330"/>
        </w:trPr>
        <w:tc>
          <w:tcPr>
            <w:tcW w:w="3780" w:type="dxa"/>
            <w:tcBorders>
              <w:top w:val="single" w:sz="4" w:space="0" w:color="auto"/>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Dwelling Units</w:t>
            </w:r>
          </w:p>
        </w:tc>
        <w:tc>
          <w:tcPr>
            <w:tcW w:w="5920" w:type="dxa"/>
            <w:tcBorders>
              <w:top w:val="single" w:sz="4" w:space="0" w:color="auto"/>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2 per dwelling unit</w:t>
            </w:r>
          </w:p>
        </w:tc>
      </w:tr>
      <w:tr w:rsidR="00755941" w:rsidRPr="00F50852" w:rsidTr="002264FC">
        <w:trPr>
          <w:trHeight w:val="665"/>
        </w:trPr>
        <w:tc>
          <w:tcPr>
            <w:tcW w:w="3780" w:type="dxa"/>
            <w:tcBorders>
              <w:top w:val="single" w:sz="4" w:space="0" w:color="auto"/>
              <w:left w:val="single" w:sz="4" w:space="0" w:color="auto"/>
              <w:bottom w:val="nil"/>
              <w:right w:val="single" w:sz="4" w:space="0" w:color="auto"/>
            </w:tcBorders>
          </w:tcPr>
          <w:p w:rsidR="00755941" w:rsidRPr="00F50852" w:rsidRDefault="00755941" w:rsidP="00F50852">
            <w:pPr>
              <w:spacing w:after="0" w:line="240" w:lineRule="auto"/>
              <w:ind w:firstLineChars="200" w:firstLine="440"/>
              <w:rPr>
                <w:rFonts w:ascii="Arial" w:hAnsi="Arial" w:cs="Arial"/>
              </w:rPr>
            </w:pPr>
            <w:r w:rsidRPr="00F50852">
              <w:rPr>
                <w:rFonts w:ascii="Arial" w:hAnsi="Arial" w:cs="Arial"/>
              </w:rPr>
              <w:t> </w:t>
            </w:r>
          </w:p>
        </w:tc>
        <w:tc>
          <w:tcPr>
            <w:tcW w:w="5920" w:type="dxa"/>
            <w:tcBorders>
              <w:top w:val="single" w:sz="4" w:space="0" w:color="auto"/>
              <w:left w:val="nil"/>
              <w:bottom w:val="nil"/>
              <w:right w:val="single" w:sz="4" w:space="0" w:color="auto"/>
            </w:tcBorders>
          </w:tcPr>
          <w:p w:rsidR="00755941" w:rsidRPr="00F50852" w:rsidRDefault="00755941" w:rsidP="00F50852">
            <w:pPr>
              <w:spacing w:after="0" w:line="240" w:lineRule="auto"/>
              <w:ind w:firstLineChars="100" w:firstLine="220"/>
              <w:rPr>
                <w:rFonts w:ascii="Arial" w:hAnsi="Arial" w:cs="Arial"/>
              </w:rPr>
            </w:pPr>
            <w:r w:rsidRPr="00F50852">
              <w:rPr>
                <w:rFonts w:ascii="Arial" w:hAnsi="Arial" w:cs="Arial"/>
              </w:rPr>
              <w:t> </w:t>
            </w:r>
          </w:p>
        </w:tc>
      </w:tr>
      <w:tr w:rsidR="00755941" w:rsidRPr="00F50852" w:rsidTr="002264FC">
        <w:trPr>
          <w:trHeight w:val="540"/>
        </w:trPr>
        <w:tc>
          <w:tcPr>
            <w:tcW w:w="9700" w:type="dxa"/>
            <w:gridSpan w:val="2"/>
            <w:tcBorders>
              <w:top w:val="nil"/>
              <w:left w:val="nil"/>
              <w:bottom w:val="single" w:sz="4" w:space="0" w:color="auto"/>
              <w:right w:val="nil"/>
            </w:tcBorders>
          </w:tcPr>
          <w:p w:rsidR="00755941" w:rsidRPr="00F50852" w:rsidRDefault="00755941" w:rsidP="00F50852">
            <w:pPr>
              <w:spacing w:after="0" w:line="240" w:lineRule="auto"/>
              <w:jc w:val="center"/>
              <w:rPr>
                <w:rFonts w:ascii="Arial" w:hAnsi="Arial" w:cs="Arial"/>
                <w:b/>
                <w:bCs/>
              </w:rPr>
            </w:pPr>
            <w:r>
              <w:rPr>
                <w:rFonts w:ascii="Arial" w:hAnsi="Arial" w:cs="Arial"/>
                <w:b/>
                <w:bCs/>
              </w:rPr>
              <w:lastRenderedPageBreak/>
              <w:br/>
            </w:r>
            <w:r w:rsidRPr="00F50852">
              <w:rPr>
                <w:rFonts w:ascii="Arial" w:hAnsi="Arial" w:cs="Arial"/>
                <w:b/>
                <w:bCs/>
              </w:rPr>
              <w:t>Minimum Loading</w:t>
            </w:r>
          </w:p>
        </w:tc>
      </w:tr>
      <w:tr w:rsidR="00755941" w:rsidRPr="00F50852" w:rsidTr="002264FC">
        <w:trPr>
          <w:trHeight w:val="285"/>
        </w:trPr>
        <w:tc>
          <w:tcPr>
            <w:tcW w:w="3780" w:type="dxa"/>
            <w:tcBorders>
              <w:top w:val="single" w:sz="4" w:space="0" w:color="auto"/>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Offices</w:t>
            </w:r>
          </w:p>
        </w:tc>
        <w:tc>
          <w:tcPr>
            <w:tcW w:w="5920" w:type="dxa"/>
            <w:tcBorders>
              <w:top w:val="single" w:sz="4" w:space="0" w:color="auto"/>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per 10,000 sf of floor area.</w:t>
            </w:r>
          </w:p>
        </w:tc>
      </w:tr>
      <w:tr w:rsidR="00755941" w:rsidRPr="00F50852" w:rsidTr="002264FC">
        <w:trPr>
          <w:trHeight w:val="1142"/>
        </w:trPr>
        <w:tc>
          <w:tcPr>
            <w:tcW w:w="3780" w:type="dxa"/>
            <w:tcBorders>
              <w:top w:val="single" w:sz="4" w:space="0" w:color="auto"/>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Retail, commercial, wholesale, manufacturing, storage and miscellaneous uses</w:t>
            </w:r>
          </w:p>
        </w:tc>
        <w:tc>
          <w:tcPr>
            <w:tcW w:w="5920" w:type="dxa"/>
            <w:tcBorders>
              <w:top w:val="single" w:sz="4" w:space="0" w:color="auto"/>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per 10,000 to 25,000 sf of floor area:   2 for each 25,000 to 40,000 sf of floor area: 3 for 40,000 to 60,000 sf of floor area: 1 for each additional 50,000 sf of floor area or fraction thereof.</w:t>
            </w:r>
          </w:p>
        </w:tc>
      </w:tr>
      <w:tr w:rsidR="00755941" w:rsidRPr="00F50852" w:rsidTr="002264FC">
        <w:trPr>
          <w:trHeight w:val="720"/>
        </w:trPr>
        <w:tc>
          <w:tcPr>
            <w:tcW w:w="9700" w:type="dxa"/>
            <w:gridSpan w:val="2"/>
            <w:tcBorders>
              <w:top w:val="single" w:sz="4" w:space="0" w:color="auto"/>
              <w:left w:val="nil"/>
              <w:bottom w:val="single" w:sz="4" w:space="0" w:color="auto"/>
              <w:right w:val="nil"/>
            </w:tcBorders>
          </w:tcPr>
          <w:p w:rsidR="00755941" w:rsidRPr="00F50852" w:rsidRDefault="00755941" w:rsidP="00F50852">
            <w:pPr>
              <w:spacing w:after="0" w:line="240" w:lineRule="auto"/>
              <w:jc w:val="center"/>
              <w:rPr>
                <w:rFonts w:ascii="Arial" w:hAnsi="Arial" w:cs="Arial"/>
                <w:b/>
                <w:bCs/>
              </w:rPr>
            </w:pPr>
            <w:r>
              <w:rPr>
                <w:rFonts w:ascii="Arial" w:hAnsi="Arial" w:cs="Arial"/>
                <w:b/>
                <w:bCs/>
              </w:rPr>
              <w:br/>
            </w:r>
            <w:r w:rsidRPr="00F50852">
              <w:rPr>
                <w:rFonts w:ascii="Arial" w:hAnsi="Arial" w:cs="Arial"/>
                <w:b/>
                <w:bCs/>
              </w:rPr>
              <w:t>Minimum Required Parking Use and Loading Spaces</w:t>
            </w:r>
          </w:p>
        </w:tc>
      </w:tr>
      <w:tr w:rsidR="00755941" w:rsidRPr="00F50852" w:rsidTr="002264FC">
        <w:trPr>
          <w:trHeight w:val="855"/>
        </w:trPr>
        <w:tc>
          <w:tcPr>
            <w:tcW w:w="3780" w:type="dxa"/>
            <w:tcBorders>
              <w:top w:val="single" w:sz="4" w:space="0" w:color="auto"/>
              <w:left w:val="single" w:sz="4" w:space="0" w:color="auto"/>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Undertakers and funeral parlors</w:t>
            </w:r>
          </w:p>
        </w:tc>
        <w:tc>
          <w:tcPr>
            <w:tcW w:w="5920" w:type="dxa"/>
            <w:tcBorders>
              <w:top w:val="single" w:sz="4" w:space="0" w:color="auto"/>
              <w:left w:val="nil"/>
              <w:bottom w:val="single" w:sz="4" w:space="0" w:color="auto"/>
              <w:right w:val="single" w:sz="4" w:space="0" w:color="auto"/>
            </w:tcBorders>
          </w:tcPr>
          <w:p w:rsidR="00755941" w:rsidRPr="00F50852" w:rsidRDefault="00755941" w:rsidP="00F50852">
            <w:pPr>
              <w:spacing w:after="0" w:line="240" w:lineRule="auto"/>
              <w:rPr>
                <w:rFonts w:ascii="Arial" w:hAnsi="Arial" w:cs="Arial"/>
              </w:rPr>
            </w:pPr>
            <w:r w:rsidRPr="00F50852">
              <w:rPr>
                <w:rFonts w:ascii="Arial" w:hAnsi="Arial" w:cs="Arial"/>
              </w:rPr>
              <w:t>1 for each 5,000 square feet of floor area. 1 for each additional 5,000 square feet of floor area or major fraction thereof.</w:t>
            </w:r>
          </w:p>
        </w:tc>
      </w:tr>
    </w:tbl>
    <w:p w:rsidR="00755941" w:rsidRPr="00BE064F" w:rsidRDefault="00755941" w:rsidP="00BE064F">
      <w:pPr>
        <w:pStyle w:val="HolmdelFormat8"/>
        <w:ind w:left="450"/>
        <w:jc w:val="center"/>
        <w:rPr>
          <w:rFonts w:ascii="Arial" w:hAnsi="Arial" w:cs="Arial"/>
          <w:b/>
          <w:sz w:val="22"/>
          <w:szCs w:val="22"/>
        </w:rPr>
      </w:pPr>
    </w:p>
    <w:p w:rsidR="00755941" w:rsidRPr="00BE064F" w:rsidRDefault="00755941" w:rsidP="00BE064F">
      <w:pPr>
        <w:pStyle w:val="HolmdelIndentA0"/>
        <w:spacing w:before="160"/>
        <w:rPr>
          <w:rFonts w:ascii="Arial" w:hAnsi="Arial" w:cs="Arial"/>
          <w:sz w:val="22"/>
          <w:szCs w:val="22"/>
        </w:rPr>
      </w:pPr>
      <w:r w:rsidRPr="00BE064F">
        <w:rPr>
          <w:rFonts w:ascii="Arial" w:hAnsi="Arial" w:cs="Arial"/>
          <w:sz w:val="22"/>
          <w:szCs w:val="22"/>
        </w:rPr>
        <w:t>J.</w:t>
      </w:r>
      <w:r w:rsidRPr="00BE064F">
        <w:rPr>
          <w:rFonts w:ascii="Arial" w:hAnsi="Arial" w:cs="Arial"/>
          <w:sz w:val="22"/>
          <w:szCs w:val="22"/>
        </w:rPr>
        <w:tab/>
        <w:t>Enclosure. All uses shall be conducted wholly within a completely enclosed building, except for off-street parking and loading facilities, new and used car lots and service stations.</w:t>
      </w:r>
    </w:p>
    <w:p w:rsidR="00755941" w:rsidRDefault="00755941" w:rsidP="00BE064F">
      <w:pPr>
        <w:pStyle w:val="HolmdelIndentA0"/>
        <w:spacing w:after="0"/>
        <w:rPr>
          <w:rFonts w:ascii="Arial" w:hAnsi="Arial" w:cs="Arial"/>
          <w:sz w:val="22"/>
          <w:szCs w:val="22"/>
        </w:rPr>
      </w:pPr>
      <w:r w:rsidRPr="00BE064F">
        <w:rPr>
          <w:rFonts w:ascii="Arial" w:hAnsi="Arial" w:cs="Arial"/>
          <w:sz w:val="22"/>
          <w:szCs w:val="22"/>
        </w:rPr>
        <w:t>K.</w:t>
      </w:r>
      <w:r w:rsidRPr="00BE064F">
        <w:rPr>
          <w:rFonts w:ascii="Arial" w:hAnsi="Arial" w:cs="Arial"/>
          <w:sz w:val="22"/>
          <w:szCs w:val="22"/>
        </w:rPr>
        <w:tab/>
        <w:t>Bakeries. Bakeries first permitted in any B-1 Zone shall be located no closer to a residential district than fifty (50) feet, and goods produced on the premises shall be sold only at retail on the premises.</w:t>
      </w:r>
    </w:p>
    <w:p w:rsidR="00755941" w:rsidRDefault="00755941" w:rsidP="00BE064F">
      <w:pPr>
        <w:pStyle w:val="HolmdelIndentA0"/>
        <w:spacing w:after="0"/>
        <w:rPr>
          <w:rFonts w:ascii="Arial" w:hAnsi="Arial" w:cs="Arial"/>
          <w:sz w:val="22"/>
          <w:szCs w:val="22"/>
        </w:rPr>
      </w:pPr>
    </w:p>
    <w:p w:rsidR="00755941" w:rsidRDefault="00755941" w:rsidP="00BE064F">
      <w:pPr>
        <w:pStyle w:val="HolmdelIndentA0"/>
        <w:spacing w:after="0"/>
        <w:rPr>
          <w:rFonts w:ascii="Arial" w:hAnsi="Arial" w:cs="Arial"/>
          <w:sz w:val="22"/>
          <w:szCs w:val="22"/>
        </w:rPr>
      </w:pPr>
      <w:r>
        <w:rPr>
          <w:rFonts w:ascii="Arial" w:hAnsi="Arial" w:cs="Arial"/>
          <w:sz w:val="22"/>
          <w:szCs w:val="22"/>
        </w:rPr>
        <w:t>L.     Dwelling Unit Development Regulations</w:t>
      </w:r>
    </w:p>
    <w:p w:rsidR="00755941" w:rsidRDefault="00755941" w:rsidP="00BE064F">
      <w:pPr>
        <w:pStyle w:val="HolmdelIndentA0"/>
        <w:spacing w:after="0"/>
        <w:rPr>
          <w:rFonts w:ascii="Arial" w:hAnsi="Arial" w:cs="Arial"/>
          <w:sz w:val="22"/>
          <w:szCs w:val="22"/>
        </w:rPr>
      </w:pPr>
    </w:p>
    <w:p w:rsidR="00755941" w:rsidRDefault="00755941" w:rsidP="006077A3">
      <w:pPr>
        <w:pStyle w:val="HolmdelIndentA0"/>
        <w:numPr>
          <w:ilvl w:val="0"/>
          <w:numId w:val="1"/>
        </w:numPr>
        <w:spacing w:after="0"/>
        <w:rPr>
          <w:rFonts w:ascii="Arial" w:hAnsi="Arial" w:cs="Arial"/>
          <w:sz w:val="22"/>
          <w:szCs w:val="22"/>
        </w:rPr>
      </w:pPr>
      <w:r>
        <w:rPr>
          <w:rFonts w:ascii="Arial" w:hAnsi="Arial" w:cs="Arial"/>
          <w:sz w:val="22"/>
          <w:szCs w:val="22"/>
        </w:rPr>
        <w:t xml:space="preserve"> Number of Bedrooms.  No dwelling unit shall have over two (2) bedrooms.</w:t>
      </w:r>
    </w:p>
    <w:p w:rsidR="00755941" w:rsidRDefault="00755941" w:rsidP="006077A3">
      <w:pPr>
        <w:pStyle w:val="HolmdelIndentA0"/>
        <w:numPr>
          <w:ilvl w:val="0"/>
          <w:numId w:val="1"/>
        </w:numPr>
        <w:spacing w:after="0"/>
        <w:rPr>
          <w:rFonts w:ascii="Arial" w:hAnsi="Arial" w:cs="Arial"/>
          <w:sz w:val="22"/>
          <w:szCs w:val="22"/>
        </w:rPr>
      </w:pPr>
      <w:r>
        <w:rPr>
          <w:rFonts w:ascii="Arial" w:hAnsi="Arial" w:cs="Arial"/>
          <w:sz w:val="22"/>
          <w:szCs w:val="22"/>
        </w:rPr>
        <w:t xml:space="preserve"> Minimum Habitable Floor Space</w:t>
      </w:r>
    </w:p>
    <w:p w:rsidR="00755941" w:rsidRDefault="00755941" w:rsidP="006077A3">
      <w:pPr>
        <w:pStyle w:val="HolmdelIndentA0"/>
        <w:spacing w:after="0"/>
        <w:rPr>
          <w:rFonts w:ascii="Arial" w:hAnsi="Arial" w:cs="Arial"/>
          <w:sz w:val="22"/>
          <w:szCs w:val="22"/>
        </w:rPr>
      </w:pPr>
    </w:p>
    <w:p w:rsidR="00755941" w:rsidRPr="00387A0B" w:rsidRDefault="00755941" w:rsidP="006077A3">
      <w:pPr>
        <w:pStyle w:val="HolmdelIndentA0"/>
        <w:spacing w:after="0"/>
        <w:ind w:left="855" w:firstLine="0"/>
        <w:rPr>
          <w:rFonts w:ascii="Arial" w:hAnsi="Arial" w:cs="Arial"/>
          <w:b/>
          <w:i/>
          <w:sz w:val="22"/>
          <w:szCs w:val="22"/>
          <w:u w:val="single"/>
        </w:rPr>
      </w:pPr>
      <w:r w:rsidRPr="00387A0B">
        <w:rPr>
          <w:rFonts w:ascii="Arial" w:hAnsi="Arial" w:cs="Arial"/>
          <w:b/>
          <w:i/>
          <w:sz w:val="22"/>
          <w:szCs w:val="22"/>
        </w:rPr>
        <w:t xml:space="preserve"> </w:t>
      </w:r>
      <w:r w:rsidRPr="00387A0B">
        <w:rPr>
          <w:rFonts w:ascii="Arial" w:hAnsi="Arial" w:cs="Arial"/>
          <w:b/>
          <w:i/>
          <w:sz w:val="22"/>
          <w:szCs w:val="22"/>
          <w:u w:val="single"/>
        </w:rPr>
        <w:t>Number of Bedrooms</w:t>
      </w:r>
      <w:r w:rsidRPr="00387A0B">
        <w:rPr>
          <w:rFonts w:ascii="Arial" w:hAnsi="Arial" w:cs="Arial"/>
          <w:b/>
          <w:i/>
          <w:sz w:val="22"/>
          <w:szCs w:val="22"/>
        </w:rPr>
        <w:t xml:space="preserve">          </w:t>
      </w:r>
      <w:r>
        <w:rPr>
          <w:rFonts w:ascii="Arial" w:hAnsi="Arial" w:cs="Arial"/>
          <w:b/>
          <w:i/>
          <w:sz w:val="22"/>
          <w:szCs w:val="22"/>
          <w:u w:val="single"/>
        </w:rPr>
        <w:t>Mini</w:t>
      </w:r>
      <w:r w:rsidRPr="00387A0B">
        <w:rPr>
          <w:rFonts w:ascii="Arial" w:hAnsi="Arial" w:cs="Arial"/>
          <w:b/>
          <w:i/>
          <w:sz w:val="22"/>
          <w:szCs w:val="22"/>
          <w:u w:val="single"/>
        </w:rPr>
        <w:t>mum Floor Space  - Square Footage</w:t>
      </w:r>
    </w:p>
    <w:p w:rsidR="00755941" w:rsidRPr="00387A0B" w:rsidRDefault="00755941" w:rsidP="006077A3">
      <w:pPr>
        <w:pStyle w:val="HolmdelIndentA0"/>
        <w:spacing w:after="0"/>
        <w:ind w:left="855" w:firstLine="0"/>
        <w:rPr>
          <w:rFonts w:ascii="Arial" w:hAnsi="Arial" w:cs="Arial"/>
          <w:sz w:val="22"/>
          <w:szCs w:val="22"/>
          <w:u w:val="single"/>
        </w:rPr>
      </w:pPr>
    </w:p>
    <w:p w:rsidR="00755941" w:rsidRDefault="00755941" w:rsidP="00F50852">
      <w:pPr>
        <w:pStyle w:val="HolmdelIndentA0"/>
        <w:numPr>
          <w:ilvl w:val="0"/>
          <w:numId w:val="2"/>
        </w:numPr>
        <w:spacing w:after="0"/>
        <w:ind w:hanging="3330"/>
        <w:rPr>
          <w:rFonts w:ascii="Arial" w:hAnsi="Arial" w:cs="Arial"/>
          <w:sz w:val="22"/>
          <w:szCs w:val="22"/>
        </w:rPr>
      </w:pPr>
      <w:r>
        <w:rPr>
          <w:rFonts w:ascii="Arial" w:hAnsi="Arial" w:cs="Arial"/>
          <w:sz w:val="22"/>
          <w:szCs w:val="22"/>
        </w:rPr>
        <w:t xml:space="preserve">                            550 square feet (efficiency)</w:t>
      </w:r>
    </w:p>
    <w:p w:rsidR="00755941" w:rsidRDefault="00755941" w:rsidP="00F50852">
      <w:pPr>
        <w:pStyle w:val="HolmdelIndentA0"/>
        <w:spacing w:after="0"/>
        <w:ind w:left="1195" w:firstLine="245"/>
        <w:rPr>
          <w:rFonts w:ascii="Arial" w:hAnsi="Arial" w:cs="Arial"/>
          <w:sz w:val="22"/>
          <w:szCs w:val="22"/>
        </w:rPr>
      </w:pPr>
      <w:r>
        <w:rPr>
          <w:rFonts w:ascii="Arial" w:hAnsi="Arial" w:cs="Arial"/>
          <w:sz w:val="22"/>
          <w:szCs w:val="22"/>
        </w:rPr>
        <w:t xml:space="preserve">               1                                   650 square feet</w:t>
      </w:r>
    </w:p>
    <w:p w:rsidR="00755941" w:rsidRDefault="00755941" w:rsidP="00F50852">
      <w:pPr>
        <w:pStyle w:val="HolmdelIndentA0"/>
        <w:spacing w:after="0"/>
        <w:ind w:left="1670" w:firstLine="490"/>
        <w:rPr>
          <w:rFonts w:ascii="Arial" w:hAnsi="Arial" w:cs="Arial"/>
          <w:sz w:val="22"/>
          <w:szCs w:val="22"/>
        </w:rPr>
      </w:pPr>
      <w:r>
        <w:rPr>
          <w:rFonts w:ascii="Arial" w:hAnsi="Arial" w:cs="Arial"/>
          <w:sz w:val="22"/>
          <w:szCs w:val="22"/>
        </w:rPr>
        <w:t xml:space="preserve">   2                                   800 square feet</w:t>
      </w:r>
    </w:p>
    <w:p w:rsidR="00755941" w:rsidRDefault="00755941" w:rsidP="006077A3">
      <w:pPr>
        <w:pStyle w:val="HolmdelIndentA0"/>
        <w:spacing w:after="0"/>
        <w:rPr>
          <w:rFonts w:ascii="Arial" w:hAnsi="Arial" w:cs="Arial"/>
          <w:sz w:val="22"/>
          <w:szCs w:val="22"/>
        </w:rPr>
      </w:pPr>
      <w:r>
        <w:rPr>
          <w:rFonts w:ascii="Arial" w:hAnsi="Arial" w:cs="Arial"/>
          <w:sz w:val="22"/>
          <w:szCs w:val="22"/>
        </w:rPr>
        <w:t xml:space="preserve">              </w:t>
      </w:r>
    </w:p>
    <w:p w:rsidR="00755941" w:rsidRPr="00BE064F" w:rsidRDefault="00755941" w:rsidP="000B5DFB">
      <w:pPr>
        <w:pStyle w:val="HolmdelIndentA0"/>
        <w:numPr>
          <w:ilvl w:val="0"/>
          <w:numId w:val="1"/>
        </w:numPr>
        <w:spacing w:after="0"/>
        <w:rPr>
          <w:rFonts w:ascii="Arial" w:hAnsi="Arial" w:cs="Arial"/>
          <w:sz w:val="22"/>
          <w:szCs w:val="22"/>
        </w:rPr>
      </w:pPr>
      <w:r>
        <w:rPr>
          <w:rFonts w:ascii="Arial" w:hAnsi="Arial" w:cs="Arial"/>
          <w:sz w:val="22"/>
          <w:szCs w:val="22"/>
        </w:rPr>
        <w:t>Efficiency units shall not exceed twenty (20) percent of total number of dwelling units.</w:t>
      </w:r>
    </w:p>
    <w:bookmarkEnd w:id="0"/>
    <w:p w:rsidR="00755941" w:rsidRDefault="00755941" w:rsidP="00895CA5">
      <w:pPr>
        <w:spacing w:after="0" w:line="240" w:lineRule="auto"/>
        <w:jc w:val="both"/>
        <w:rPr>
          <w:rFonts w:ascii="Arial" w:hAnsi="Arial" w:cs="Arial"/>
        </w:rPr>
      </w:pPr>
    </w:p>
    <w:p w:rsidR="00755941" w:rsidRPr="00CB1B45" w:rsidRDefault="00755941" w:rsidP="004E2613">
      <w:pPr>
        <w:spacing w:after="0" w:line="240" w:lineRule="auto"/>
        <w:ind w:firstLine="720"/>
        <w:jc w:val="both"/>
        <w:rPr>
          <w:rFonts w:ascii="Arial" w:hAnsi="Arial" w:cs="Arial"/>
        </w:rPr>
      </w:pPr>
      <w:r>
        <w:rPr>
          <w:rFonts w:ascii="Arial" w:hAnsi="Arial" w:cs="Arial"/>
          <w:b/>
        </w:rPr>
        <w:t xml:space="preserve">SECTION 2. </w:t>
      </w:r>
      <w:r w:rsidRPr="00CB1B45">
        <w:rPr>
          <w:rFonts w:ascii="Arial" w:hAnsi="Arial" w:cs="Arial"/>
        </w:rPr>
        <w:t>All ordinances or parts of ordinances of the Borough of Bloomingdale inconsistent herewith are repealed to the extent of such inconsistency.</w:t>
      </w:r>
    </w:p>
    <w:p w:rsidR="00755941" w:rsidRDefault="00755941" w:rsidP="00CB1B45">
      <w:pPr>
        <w:spacing w:after="0" w:line="240" w:lineRule="auto"/>
        <w:jc w:val="both"/>
        <w:rPr>
          <w:rFonts w:ascii="Arial" w:hAnsi="Arial" w:cs="Arial"/>
        </w:rPr>
      </w:pPr>
    </w:p>
    <w:p w:rsidR="00755941" w:rsidRDefault="00755941" w:rsidP="00CB1B45">
      <w:pPr>
        <w:spacing w:after="0" w:line="240" w:lineRule="auto"/>
        <w:ind w:firstLine="720"/>
        <w:jc w:val="both"/>
        <w:rPr>
          <w:rFonts w:ascii="Arial" w:hAnsi="Arial" w:cs="Arial"/>
        </w:rPr>
      </w:pPr>
      <w:r w:rsidRPr="00CB1B45">
        <w:rPr>
          <w:rFonts w:ascii="Arial" w:hAnsi="Arial" w:cs="Arial"/>
          <w:b/>
        </w:rPr>
        <w:t xml:space="preserve">SECTION </w:t>
      </w:r>
      <w:r>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755941" w:rsidRDefault="00755941" w:rsidP="00895CA5">
      <w:pPr>
        <w:spacing w:after="0" w:line="240" w:lineRule="auto"/>
        <w:jc w:val="both"/>
        <w:rPr>
          <w:rFonts w:ascii="Arial" w:hAnsi="Arial" w:cs="Arial"/>
        </w:rPr>
      </w:pPr>
    </w:p>
    <w:p w:rsidR="00755941" w:rsidRDefault="00755941" w:rsidP="00CB1B45">
      <w:pPr>
        <w:spacing w:after="0" w:line="240" w:lineRule="auto"/>
        <w:ind w:firstLine="720"/>
        <w:jc w:val="both"/>
        <w:rPr>
          <w:rFonts w:ascii="Arial" w:hAnsi="Arial" w:cs="Arial"/>
        </w:rPr>
      </w:pPr>
      <w:r>
        <w:rPr>
          <w:rFonts w:ascii="Arial" w:hAnsi="Arial" w:cs="Arial"/>
          <w:b/>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Default="00755941" w:rsidP="00CB1B45">
      <w:pPr>
        <w:spacing w:after="0" w:line="240" w:lineRule="auto"/>
        <w:ind w:firstLine="720"/>
        <w:jc w:val="both"/>
        <w:rPr>
          <w:rFonts w:ascii="Arial" w:hAnsi="Arial" w:cs="Arial"/>
        </w:rPr>
      </w:pPr>
    </w:p>
    <w:p w:rsidR="00755941" w:rsidRPr="00CB1B45" w:rsidRDefault="00755941" w:rsidP="00CB1B45">
      <w:pPr>
        <w:spacing w:after="0" w:line="240" w:lineRule="auto"/>
        <w:ind w:firstLine="720"/>
        <w:jc w:val="both"/>
        <w:rPr>
          <w:rFonts w:ascii="Arial" w:hAnsi="Arial" w:cs="Arial"/>
        </w:rPr>
      </w:pPr>
    </w:p>
    <w:p w:rsidR="00755941" w:rsidRPr="00387A0B" w:rsidRDefault="00755941" w:rsidP="00FD1F95">
      <w:pPr>
        <w:tabs>
          <w:tab w:val="center" w:pos="4680"/>
        </w:tabs>
        <w:jc w:val="center"/>
        <w:rPr>
          <w:rFonts w:ascii="Times New Roman" w:hAnsi="Times New Roman"/>
          <w:b/>
          <w:i/>
          <w:sz w:val="24"/>
          <w:szCs w:val="24"/>
          <w:u w:val="single"/>
        </w:rPr>
      </w:pPr>
      <w:r w:rsidRPr="00387A0B">
        <w:rPr>
          <w:rFonts w:ascii="Times New Roman" w:hAnsi="Times New Roman"/>
          <w:b/>
          <w:bCs/>
          <w:i/>
          <w:sz w:val="24"/>
          <w:szCs w:val="24"/>
          <w:u w:val="single"/>
        </w:rPr>
        <w:t>NOTICE</w:t>
      </w:r>
    </w:p>
    <w:p w:rsidR="00755941" w:rsidRPr="00343566" w:rsidRDefault="00755941" w:rsidP="00FD1F95">
      <w:pPr>
        <w:rPr>
          <w:rFonts w:ascii="Times New Roman" w:hAnsi="Times New Roman"/>
          <w:sz w:val="24"/>
          <w:szCs w:val="24"/>
        </w:rPr>
      </w:pPr>
    </w:p>
    <w:p w:rsidR="00755941" w:rsidRPr="00343566" w:rsidRDefault="00755941" w:rsidP="00FD1F95">
      <w:pPr>
        <w:rPr>
          <w:rFonts w:ascii="Times New Roman" w:hAnsi="Times New Roman"/>
          <w:sz w:val="24"/>
          <w:szCs w:val="24"/>
        </w:rPr>
      </w:pPr>
      <w:r w:rsidRPr="00343566">
        <w:rPr>
          <w:rFonts w:ascii="Times New Roman" w:hAnsi="Times New Roman"/>
          <w:sz w:val="24"/>
          <w:szCs w:val="24"/>
        </w:rPr>
        <w:t xml:space="preserve">NOTICE IS HEREBY GIVEN, that the above Ordinance was </w:t>
      </w:r>
      <w:r w:rsidRPr="00926749">
        <w:rPr>
          <w:rFonts w:ascii="Times New Roman" w:hAnsi="Times New Roman"/>
          <w:b/>
          <w:i/>
          <w:sz w:val="24"/>
          <w:szCs w:val="24"/>
          <w:u w:val="single"/>
        </w:rPr>
        <w:t>reintroduced</w:t>
      </w:r>
      <w:r w:rsidRPr="00343566">
        <w:rPr>
          <w:rFonts w:ascii="Times New Roman" w:hAnsi="Times New Roman"/>
          <w:sz w:val="24"/>
          <w:szCs w:val="24"/>
        </w:rPr>
        <w:t xml:space="preserve"> </w:t>
      </w:r>
      <w:r>
        <w:rPr>
          <w:rFonts w:ascii="Times New Roman" w:hAnsi="Times New Roman"/>
          <w:sz w:val="24"/>
          <w:szCs w:val="24"/>
        </w:rPr>
        <w:t>with the changes recommended by the Bloomingdal</w:t>
      </w:r>
      <w:r w:rsidR="00F5137B">
        <w:rPr>
          <w:rFonts w:ascii="Times New Roman" w:hAnsi="Times New Roman"/>
          <w:sz w:val="24"/>
          <w:szCs w:val="24"/>
        </w:rPr>
        <w:t>e Planning Board outlined</w:t>
      </w:r>
      <w:bookmarkStart w:id="1" w:name="_GoBack"/>
      <w:bookmarkEnd w:id="1"/>
      <w:r>
        <w:rPr>
          <w:rFonts w:ascii="Times New Roman" w:hAnsi="Times New Roman"/>
          <w:sz w:val="24"/>
          <w:szCs w:val="24"/>
        </w:rPr>
        <w:t xml:space="preserve"> above </w:t>
      </w:r>
      <w:r w:rsidRPr="00343566">
        <w:rPr>
          <w:rFonts w:ascii="Times New Roman" w:hAnsi="Times New Roman"/>
          <w:sz w:val="24"/>
          <w:szCs w:val="24"/>
        </w:rPr>
        <w:t xml:space="preserve">and passed on first reading at the </w:t>
      </w:r>
      <w:r>
        <w:rPr>
          <w:rFonts w:ascii="Times New Roman" w:hAnsi="Times New Roman"/>
          <w:sz w:val="24"/>
          <w:szCs w:val="24"/>
        </w:rPr>
        <w:t xml:space="preserve">Regular Business </w:t>
      </w:r>
      <w:r w:rsidRPr="00343566">
        <w:rPr>
          <w:rFonts w:ascii="Times New Roman" w:hAnsi="Times New Roman"/>
          <w:sz w:val="24"/>
          <w:szCs w:val="24"/>
        </w:rPr>
        <w:t xml:space="preserve">Meeting of the Governing Body of the Borough of Bloomingdale held in the Municipal Building on the </w:t>
      </w:r>
      <w:r>
        <w:rPr>
          <w:rFonts w:ascii="Times New Roman" w:hAnsi="Times New Roman"/>
          <w:sz w:val="24"/>
          <w:szCs w:val="24"/>
        </w:rPr>
        <w:t>15th</w:t>
      </w:r>
      <w:r w:rsidRPr="00343566">
        <w:rPr>
          <w:rFonts w:ascii="Times New Roman" w:hAnsi="Times New Roman"/>
          <w:sz w:val="24"/>
          <w:szCs w:val="24"/>
        </w:rPr>
        <w:t xml:space="preserve"> day of </w:t>
      </w:r>
      <w:r>
        <w:rPr>
          <w:rFonts w:ascii="Times New Roman" w:hAnsi="Times New Roman"/>
          <w:sz w:val="24"/>
          <w:szCs w:val="24"/>
        </w:rPr>
        <w:t>March, 2016</w:t>
      </w:r>
      <w:r w:rsidRPr="00343566">
        <w:rPr>
          <w:rFonts w:ascii="Times New Roman" w:hAnsi="Times New Roman"/>
          <w:sz w:val="24"/>
          <w:szCs w:val="24"/>
        </w:rPr>
        <w:t xml:space="preserve">, and the same shall come up for final passage at the Regular Business Meeting of the Governing Body to be held on the </w:t>
      </w:r>
      <w:r>
        <w:rPr>
          <w:rFonts w:ascii="Times New Roman" w:hAnsi="Times New Roman"/>
          <w:sz w:val="24"/>
          <w:szCs w:val="24"/>
        </w:rPr>
        <w:t xml:space="preserve">5th </w:t>
      </w:r>
      <w:r w:rsidRPr="00343566">
        <w:rPr>
          <w:rFonts w:ascii="Times New Roman" w:hAnsi="Times New Roman"/>
          <w:sz w:val="24"/>
          <w:szCs w:val="24"/>
        </w:rPr>
        <w:t xml:space="preserve">day of </w:t>
      </w:r>
      <w:r>
        <w:rPr>
          <w:rFonts w:ascii="Times New Roman" w:hAnsi="Times New Roman"/>
          <w:sz w:val="24"/>
          <w:szCs w:val="24"/>
        </w:rPr>
        <w:t>April 2016, at 7:0</w:t>
      </w:r>
      <w:r w:rsidRPr="00343566">
        <w:rPr>
          <w:rFonts w:ascii="Times New Roman" w:hAnsi="Times New Roman"/>
          <w:sz w:val="24"/>
          <w:szCs w:val="24"/>
        </w:rPr>
        <w:t>0 P.M., at which time any persons interested shall be given the opportunity to be heard concerning said Ordinance</w:t>
      </w:r>
    </w:p>
    <w:p w:rsidR="00755941" w:rsidRPr="00343566" w:rsidRDefault="00755941" w:rsidP="00FD1F95">
      <w:pPr>
        <w:rPr>
          <w:rFonts w:ascii="Times New Roman" w:hAnsi="Times New Roman"/>
          <w:sz w:val="24"/>
          <w:szCs w:val="24"/>
        </w:rPr>
      </w:pPr>
    </w:p>
    <w:p w:rsidR="00755941" w:rsidRDefault="00755941" w:rsidP="00FD1F95">
      <w:pPr>
        <w:ind w:left="5040"/>
        <w:rPr>
          <w:rFonts w:ascii="Times New Roman" w:hAnsi="Times New Roman"/>
          <w:sz w:val="24"/>
          <w:szCs w:val="24"/>
        </w:rPr>
      </w:pPr>
      <w:r w:rsidRPr="00343566">
        <w:rPr>
          <w:rFonts w:ascii="Times New Roman" w:hAnsi="Times New Roman"/>
          <w:sz w:val="24"/>
          <w:szCs w:val="24"/>
        </w:rPr>
        <w:t>______________________________</w:t>
      </w:r>
    </w:p>
    <w:p w:rsidR="00755941" w:rsidRPr="00343566" w:rsidRDefault="00755941" w:rsidP="00FD1F95">
      <w:pPr>
        <w:ind w:left="5040"/>
        <w:rPr>
          <w:rFonts w:ascii="Times New Roman" w:hAnsi="Times New Roman"/>
          <w:b/>
          <w:bCs/>
          <w:color w:val="000000"/>
          <w:sz w:val="24"/>
          <w:szCs w:val="24"/>
        </w:rPr>
      </w:pPr>
      <w:r w:rsidRPr="00343566">
        <w:rPr>
          <w:rFonts w:ascii="Times New Roman" w:hAnsi="Times New Roman"/>
          <w:sz w:val="24"/>
          <w:szCs w:val="24"/>
        </w:rPr>
        <w:t>Jane McCarthy, Municipal Clerk</w:t>
      </w:r>
    </w:p>
    <w:p w:rsidR="00755941" w:rsidRPr="00343566" w:rsidRDefault="00755941" w:rsidP="00FD1F95">
      <w:pPr>
        <w:spacing w:line="480" w:lineRule="auto"/>
        <w:rPr>
          <w:rFonts w:ascii="Times New Roman" w:hAnsi="Times New Roman"/>
          <w:sz w:val="24"/>
          <w:szCs w:val="24"/>
        </w:rPr>
      </w:pPr>
    </w:p>
    <w:p w:rsidR="00755941" w:rsidRPr="00343566" w:rsidRDefault="00755941" w:rsidP="00FD1F95">
      <w:pPr>
        <w:rPr>
          <w:rFonts w:ascii="Times New Roman" w:hAnsi="Times New Roman"/>
          <w:sz w:val="24"/>
          <w:szCs w:val="24"/>
        </w:rPr>
      </w:pPr>
    </w:p>
    <w:p w:rsidR="00755941" w:rsidRPr="00CB1B45" w:rsidRDefault="00755941" w:rsidP="00D07DD4">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755941"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3AE5"/>
    <w:multiLevelType w:val="hybridMultilevel"/>
    <w:tmpl w:val="224AE280"/>
    <w:lvl w:ilvl="0" w:tplc="9566012A">
      <w:start w:val="1"/>
      <w:numFmt w:val="decimal"/>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1" w15:restartNumberingAfterBreak="0">
    <w:nsid w:val="366E5A3B"/>
    <w:multiLevelType w:val="hybridMultilevel"/>
    <w:tmpl w:val="AF4EF83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EB9193C"/>
    <w:multiLevelType w:val="hybridMultilevel"/>
    <w:tmpl w:val="9FEE0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7B4339F"/>
    <w:multiLevelType w:val="hybridMultilevel"/>
    <w:tmpl w:val="839C88D0"/>
    <w:lvl w:ilvl="0" w:tplc="CD26E630">
      <w:numFmt w:val="decimal"/>
      <w:lvlText w:val="%1"/>
      <w:lvlJc w:val="left"/>
      <w:pPr>
        <w:ind w:left="5670" w:hanging="279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B5DFB"/>
    <w:rsid w:val="000E2CAE"/>
    <w:rsid w:val="001E02DF"/>
    <w:rsid w:val="002077F3"/>
    <w:rsid w:val="002264FC"/>
    <w:rsid w:val="00234D51"/>
    <w:rsid w:val="00245F99"/>
    <w:rsid w:val="00293228"/>
    <w:rsid w:val="002C7FBA"/>
    <w:rsid w:val="00302620"/>
    <w:rsid w:val="003365DE"/>
    <w:rsid w:val="00336E30"/>
    <w:rsid w:val="00343566"/>
    <w:rsid w:val="00382D38"/>
    <w:rsid w:val="00387A0B"/>
    <w:rsid w:val="003E102F"/>
    <w:rsid w:val="003E5CAF"/>
    <w:rsid w:val="003E7C57"/>
    <w:rsid w:val="0044553C"/>
    <w:rsid w:val="00450532"/>
    <w:rsid w:val="004B1C9F"/>
    <w:rsid w:val="004E2613"/>
    <w:rsid w:val="006077A3"/>
    <w:rsid w:val="006B1413"/>
    <w:rsid w:val="0070084D"/>
    <w:rsid w:val="00727EBD"/>
    <w:rsid w:val="00755941"/>
    <w:rsid w:val="007B32B4"/>
    <w:rsid w:val="007C31C1"/>
    <w:rsid w:val="00814CE2"/>
    <w:rsid w:val="00874061"/>
    <w:rsid w:val="00895CA5"/>
    <w:rsid w:val="008A08BC"/>
    <w:rsid w:val="008F1BAD"/>
    <w:rsid w:val="00926749"/>
    <w:rsid w:val="0095690B"/>
    <w:rsid w:val="009728B9"/>
    <w:rsid w:val="00987F89"/>
    <w:rsid w:val="009B350F"/>
    <w:rsid w:val="00A35D8E"/>
    <w:rsid w:val="00A75557"/>
    <w:rsid w:val="00A84BBF"/>
    <w:rsid w:val="00A86FE0"/>
    <w:rsid w:val="00AA4480"/>
    <w:rsid w:val="00B1161F"/>
    <w:rsid w:val="00B37841"/>
    <w:rsid w:val="00BE064F"/>
    <w:rsid w:val="00C5440A"/>
    <w:rsid w:val="00C60521"/>
    <w:rsid w:val="00C67A72"/>
    <w:rsid w:val="00CB15B1"/>
    <w:rsid w:val="00CB1B45"/>
    <w:rsid w:val="00CD1726"/>
    <w:rsid w:val="00CE088D"/>
    <w:rsid w:val="00D008DB"/>
    <w:rsid w:val="00D07DD4"/>
    <w:rsid w:val="00D21F07"/>
    <w:rsid w:val="00E168B1"/>
    <w:rsid w:val="00E332AC"/>
    <w:rsid w:val="00F50852"/>
    <w:rsid w:val="00F5137B"/>
    <w:rsid w:val="00F90814"/>
    <w:rsid w:val="00FA34B5"/>
    <w:rsid w:val="00FD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32C8FC-CEF7-43FC-B6C2-F0C83087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AC"/>
    <w:pPr>
      <w:spacing w:after="200" w:line="276" w:lineRule="auto"/>
    </w:p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Times New Roman"/>
      <w:b/>
      <w:bCs/>
      <w:i/>
      <w:iCs/>
      <w:color w:val="4F81BD"/>
    </w:rPr>
  </w:style>
  <w:style w:type="character" w:styleId="CommentReference">
    <w:name w:val="annotation reference"/>
    <w:basedOn w:val="DefaultParagraphFont"/>
    <w:uiPriority w:val="99"/>
    <w:semiHidden/>
    <w:rsid w:val="004E2613"/>
    <w:rPr>
      <w:rFonts w:cs="Times New Roman"/>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rFonts w:cs="Times New Roman"/>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rFonts w:cs="Times New Roman"/>
      <w:b/>
      <w:bCs/>
      <w:sz w:val="20"/>
      <w:szCs w:val="20"/>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sz w:val="24"/>
      <w:szCs w:val="24"/>
    </w:rPr>
  </w:style>
  <w:style w:type="paragraph" w:customStyle="1" w:styleId="CaledoniaIndent1">
    <w:name w:val="Caledonia Indent 1."/>
    <w:basedOn w:val="Normal"/>
    <w:uiPriority w:val="99"/>
    <w:rsid w:val="002C7FBA"/>
    <w:pPr>
      <w:spacing w:after="160" w:line="280" w:lineRule="atLeast"/>
      <w:ind w:left="440"/>
      <w:jc w:val="both"/>
    </w:pPr>
    <w:rPr>
      <w:rFonts w:ascii="Times" w:eastAsia="Times New Roman" w:hAnsi="Times" w:cs="Times"/>
      <w:sz w:val="24"/>
      <w:szCs w:val="24"/>
    </w:rPr>
  </w:style>
  <w:style w:type="paragraph" w:customStyle="1" w:styleId="CaledoniaIndenta">
    <w:name w:val="Caledonia Indent (a)"/>
    <w:basedOn w:val="Normal"/>
    <w:uiPriority w:val="99"/>
    <w:rsid w:val="002C7FBA"/>
    <w:pPr>
      <w:spacing w:after="160" w:line="280" w:lineRule="atLeast"/>
      <w:ind w:left="980"/>
      <w:jc w:val="both"/>
    </w:pPr>
    <w:rPr>
      <w:rFonts w:ascii="Times" w:eastAsia="Times New Roman" w:hAnsi="Times" w:cs="Times"/>
      <w:sz w:val="24"/>
      <w:szCs w:val="24"/>
    </w:rPr>
  </w:style>
  <w:style w:type="paragraph" w:customStyle="1" w:styleId="CaledoniaIndenta0">
    <w:name w:val="Caledonia Indent a."/>
    <w:basedOn w:val="Normal"/>
    <w:uiPriority w:val="99"/>
    <w:rsid w:val="002C7FBA"/>
    <w:pPr>
      <w:spacing w:after="160" w:line="280" w:lineRule="atLeast"/>
      <w:jc w:val="both"/>
    </w:pPr>
    <w:rPr>
      <w:rFonts w:ascii="Times" w:eastAsia="Times New Roman" w:hAnsi="Times" w:cs="Times"/>
      <w:sz w:val="24"/>
      <w:szCs w:val="24"/>
    </w:rPr>
  </w:style>
  <w:style w:type="paragraph" w:customStyle="1" w:styleId="CaledoniaFormat8">
    <w:name w:val="Caledonia Format +8"/>
    <w:basedOn w:val="Normal"/>
    <w:uiPriority w:val="99"/>
    <w:rsid w:val="002C7FBA"/>
    <w:pPr>
      <w:spacing w:after="160" w:line="280" w:lineRule="atLeast"/>
      <w:jc w:val="both"/>
    </w:pPr>
    <w:rPr>
      <w:rFonts w:ascii="Times" w:eastAsia="Times New Roman" w:hAnsi="Times" w:cs="Times"/>
      <w:sz w:val="24"/>
      <w:szCs w:val="24"/>
    </w:rPr>
  </w:style>
  <w:style w:type="paragraph" w:customStyle="1" w:styleId="HolmdelIndent1">
    <w:name w:val="Holmdel Indent (1)"/>
    <w:basedOn w:val="Normal"/>
    <w:uiPriority w:val="99"/>
    <w:rsid w:val="00BE064F"/>
    <w:pPr>
      <w:spacing w:after="160" w:line="280" w:lineRule="atLeast"/>
      <w:ind w:left="1037" w:hanging="1037"/>
      <w:jc w:val="both"/>
    </w:pPr>
    <w:rPr>
      <w:rFonts w:ascii="Times New Roman" w:eastAsia="Times New Roman" w:hAnsi="Times New Roman"/>
      <w:sz w:val="24"/>
      <w:szCs w:val="24"/>
    </w:rPr>
  </w:style>
  <w:style w:type="paragraph" w:customStyle="1" w:styleId="HolmdelIndentA0">
    <w:name w:val="Holmdel Indent A."/>
    <w:basedOn w:val="Normal"/>
    <w:uiPriority w:val="99"/>
    <w:rsid w:val="00BE064F"/>
    <w:pPr>
      <w:spacing w:after="160" w:line="280" w:lineRule="atLeast"/>
      <w:ind w:left="475" w:hanging="475"/>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11663">
      <w:marLeft w:val="0"/>
      <w:marRight w:val="0"/>
      <w:marTop w:val="0"/>
      <w:marBottom w:val="0"/>
      <w:divBdr>
        <w:top w:val="none" w:sz="0" w:space="0" w:color="auto"/>
        <w:left w:val="none" w:sz="0" w:space="0" w:color="auto"/>
        <w:bottom w:val="none" w:sz="0" w:space="0" w:color="auto"/>
        <w:right w:val="none" w:sz="0" w:space="0" w:color="auto"/>
      </w:divBdr>
    </w:div>
    <w:div w:id="1969511665">
      <w:marLeft w:val="0"/>
      <w:marRight w:val="0"/>
      <w:marTop w:val="0"/>
      <w:marBottom w:val="0"/>
      <w:divBdr>
        <w:top w:val="none" w:sz="0" w:space="0" w:color="auto"/>
        <w:left w:val="none" w:sz="0" w:space="0" w:color="auto"/>
        <w:bottom w:val="none" w:sz="0" w:space="0" w:color="auto"/>
        <w:right w:val="none" w:sz="0" w:space="0" w:color="auto"/>
      </w:divBdr>
    </w:div>
    <w:div w:id="1969511666">
      <w:marLeft w:val="0"/>
      <w:marRight w:val="0"/>
      <w:marTop w:val="0"/>
      <w:marBottom w:val="0"/>
      <w:divBdr>
        <w:top w:val="none" w:sz="0" w:space="0" w:color="auto"/>
        <w:left w:val="none" w:sz="0" w:space="0" w:color="auto"/>
        <w:bottom w:val="none" w:sz="0" w:space="0" w:color="auto"/>
        <w:right w:val="none" w:sz="0" w:space="0" w:color="auto"/>
      </w:divBdr>
    </w:div>
    <w:div w:id="1969511667">
      <w:marLeft w:val="0"/>
      <w:marRight w:val="0"/>
      <w:marTop w:val="0"/>
      <w:marBottom w:val="0"/>
      <w:divBdr>
        <w:top w:val="none" w:sz="0" w:space="0" w:color="auto"/>
        <w:left w:val="none" w:sz="0" w:space="0" w:color="auto"/>
        <w:bottom w:val="none" w:sz="0" w:space="0" w:color="auto"/>
        <w:right w:val="none" w:sz="0" w:space="0" w:color="auto"/>
      </w:divBdr>
    </w:div>
    <w:div w:id="1969511668">
      <w:marLeft w:val="0"/>
      <w:marRight w:val="0"/>
      <w:marTop w:val="0"/>
      <w:marBottom w:val="0"/>
      <w:divBdr>
        <w:top w:val="none" w:sz="0" w:space="0" w:color="auto"/>
        <w:left w:val="none" w:sz="0" w:space="0" w:color="auto"/>
        <w:bottom w:val="none" w:sz="0" w:space="0" w:color="auto"/>
        <w:right w:val="none" w:sz="0" w:space="0" w:color="auto"/>
      </w:divBdr>
    </w:div>
    <w:div w:id="1969511672">
      <w:marLeft w:val="360"/>
      <w:marRight w:val="360"/>
      <w:marTop w:val="360"/>
      <w:marBottom w:val="360"/>
      <w:divBdr>
        <w:top w:val="none" w:sz="0" w:space="0" w:color="auto"/>
        <w:left w:val="none" w:sz="0" w:space="0" w:color="auto"/>
        <w:bottom w:val="none" w:sz="0" w:space="0" w:color="auto"/>
        <w:right w:val="none" w:sz="0" w:space="0" w:color="auto"/>
      </w:divBdr>
      <w:divsChild>
        <w:div w:id="1969511661">
          <w:marLeft w:val="0"/>
          <w:marRight w:val="0"/>
          <w:marTop w:val="0"/>
          <w:marBottom w:val="0"/>
          <w:divBdr>
            <w:top w:val="none" w:sz="0" w:space="0" w:color="auto"/>
            <w:left w:val="none" w:sz="0" w:space="0" w:color="auto"/>
            <w:bottom w:val="none" w:sz="0" w:space="0" w:color="auto"/>
            <w:right w:val="none" w:sz="0" w:space="0" w:color="auto"/>
          </w:divBdr>
          <w:divsChild>
            <w:div w:id="1969511660">
              <w:marLeft w:val="0"/>
              <w:marRight w:val="0"/>
              <w:marTop w:val="0"/>
              <w:marBottom w:val="0"/>
              <w:divBdr>
                <w:top w:val="none" w:sz="0" w:space="0" w:color="auto"/>
                <w:left w:val="none" w:sz="0" w:space="0" w:color="auto"/>
                <w:bottom w:val="none" w:sz="0" w:space="0" w:color="auto"/>
                <w:right w:val="none" w:sz="0" w:space="0" w:color="auto"/>
              </w:divBdr>
              <w:divsChild>
                <w:div w:id="1969511671">
                  <w:marLeft w:val="0"/>
                  <w:marRight w:val="0"/>
                  <w:marTop w:val="0"/>
                  <w:marBottom w:val="0"/>
                  <w:divBdr>
                    <w:top w:val="none" w:sz="0" w:space="0" w:color="auto"/>
                    <w:left w:val="none" w:sz="0" w:space="0" w:color="auto"/>
                    <w:bottom w:val="none" w:sz="0" w:space="0" w:color="auto"/>
                    <w:right w:val="none" w:sz="0" w:space="0" w:color="auto"/>
                  </w:divBdr>
                  <w:divsChild>
                    <w:div w:id="1969511662">
                      <w:marLeft w:val="0"/>
                      <w:marRight w:val="0"/>
                      <w:marTop w:val="0"/>
                      <w:marBottom w:val="0"/>
                      <w:divBdr>
                        <w:top w:val="none" w:sz="0" w:space="0" w:color="auto"/>
                        <w:left w:val="none" w:sz="0" w:space="0" w:color="auto"/>
                        <w:bottom w:val="none" w:sz="0" w:space="0" w:color="auto"/>
                        <w:right w:val="none" w:sz="0" w:space="0" w:color="auto"/>
                      </w:divBdr>
                      <w:divsChild>
                        <w:div w:id="1969511659">
                          <w:marLeft w:val="0"/>
                          <w:marRight w:val="0"/>
                          <w:marTop w:val="0"/>
                          <w:marBottom w:val="0"/>
                          <w:divBdr>
                            <w:top w:val="none" w:sz="0" w:space="0" w:color="auto"/>
                            <w:left w:val="none" w:sz="0" w:space="0" w:color="auto"/>
                            <w:bottom w:val="none" w:sz="0" w:space="0" w:color="auto"/>
                            <w:right w:val="none" w:sz="0" w:space="0" w:color="auto"/>
                          </w:divBdr>
                          <w:divsChild>
                            <w:div w:id="1969511657">
                              <w:marLeft w:val="0"/>
                              <w:marRight w:val="0"/>
                              <w:marTop w:val="240"/>
                              <w:marBottom w:val="0"/>
                              <w:divBdr>
                                <w:top w:val="none" w:sz="0" w:space="0" w:color="auto"/>
                                <w:left w:val="none" w:sz="0" w:space="0" w:color="auto"/>
                                <w:bottom w:val="none" w:sz="0" w:space="0" w:color="auto"/>
                                <w:right w:val="none" w:sz="0" w:space="0" w:color="auto"/>
                              </w:divBdr>
                              <w:divsChild>
                                <w:div w:id="1969511658">
                                  <w:marLeft w:val="480"/>
                                  <w:marRight w:val="0"/>
                                  <w:marTop w:val="240"/>
                                  <w:marBottom w:val="0"/>
                                  <w:divBdr>
                                    <w:top w:val="none" w:sz="0" w:space="0" w:color="auto"/>
                                    <w:left w:val="none" w:sz="0" w:space="0" w:color="auto"/>
                                    <w:bottom w:val="none" w:sz="0" w:space="0" w:color="auto"/>
                                    <w:right w:val="none" w:sz="0" w:space="0" w:color="auto"/>
                                  </w:divBdr>
                                </w:div>
                                <w:div w:id="1969511664">
                                  <w:marLeft w:val="240"/>
                                  <w:marRight w:val="0"/>
                                  <w:marTop w:val="240"/>
                                  <w:marBottom w:val="0"/>
                                  <w:divBdr>
                                    <w:top w:val="none" w:sz="0" w:space="0" w:color="auto"/>
                                    <w:left w:val="none" w:sz="0" w:space="0" w:color="auto"/>
                                    <w:bottom w:val="none" w:sz="0" w:space="0" w:color="auto"/>
                                    <w:right w:val="none" w:sz="0" w:space="0" w:color="auto"/>
                                  </w:divBdr>
                                </w:div>
                                <w:div w:id="1969511669">
                                  <w:marLeft w:val="480"/>
                                  <w:marRight w:val="0"/>
                                  <w:marTop w:val="240"/>
                                  <w:marBottom w:val="0"/>
                                  <w:divBdr>
                                    <w:top w:val="none" w:sz="0" w:space="0" w:color="auto"/>
                                    <w:left w:val="none" w:sz="0" w:space="0" w:color="auto"/>
                                    <w:bottom w:val="none" w:sz="0" w:space="0" w:color="auto"/>
                                    <w:right w:val="none" w:sz="0" w:space="0" w:color="auto"/>
                                  </w:divBdr>
                                </w:div>
                                <w:div w:id="1969511670">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511673">
      <w:marLeft w:val="0"/>
      <w:marRight w:val="0"/>
      <w:marTop w:val="0"/>
      <w:marBottom w:val="0"/>
      <w:divBdr>
        <w:top w:val="none" w:sz="0" w:space="0" w:color="auto"/>
        <w:left w:val="none" w:sz="0" w:space="0" w:color="auto"/>
        <w:bottom w:val="none" w:sz="0" w:space="0" w:color="auto"/>
        <w:right w:val="none" w:sz="0" w:space="0" w:color="auto"/>
      </w:divBdr>
    </w:div>
    <w:div w:id="1969511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ORDINANCE 5-2016</vt:lpstr>
    </vt:vector>
  </TitlesOfParts>
  <Company>Microsoft</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5-2016</dc:title>
  <dc:subject/>
  <dc:creator>Tracy</dc:creator>
  <cp:keywords/>
  <dc:description/>
  <cp:lastModifiedBy>Jane McCarthy</cp:lastModifiedBy>
  <cp:revision>2</cp:revision>
  <cp:lastPrinted>2016-03-16T19:01:00Z</cp:lastPrinted>
  <dcterms:created xsi:type="dcterms:W3CDTF">2016-03-16T19:16:00Z</dcterms:created>
  <dcterms:modified xsi:type="dcterms:W3CDTF">2016-03-16T19:16:00Z</dcterms:modified>
</cp:coreProperties>
</file>