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1912" w14:textId="348BC861" w:rsidR="004E7131" w:rsidRPr="004E0406" w:rsidRDefault="004E7131" w:rsidP="004E7131">
      <w:pPr>
        <w:pStyle w:val="BodyText"/>
        <w:tabs>
          <w:tab w:val="left" w:pos="5841"/>
        </w:tabs>
        <w:spacing w:before="61" w:line="348" w:lineRule="auto"/>
        <w:ind w:left="90" w:right="90" w:firstLine="0"/>
        <w:jc w:val="center"/>
        <w:rPr>
          <w:rFonts w:ascii="Arial" w:hAnsi="Arial" w:cs="Arial"/>
          <w:sz w:val="20"/>
          <w:szCs w:val="20"/>
          <w:u w:val="none"/>
        </w:rPr>
      </w:pPr>
      <w:r w:rsidRPr="004E0406">
        <w:rPr>
          <w:rFonts w:ascii="Arial" w:hAnsi="Arial" w:cs="Arial"/>
          <w:sz w:val="20"/>
          <w:szCs w:val="20"/>
          <w:u w:val="none"/>
        </w:rPr>
        <w:t>Ordinance No.</w:t>
      </w:r>
      <w:r w:rsidR="007F054B">
        <w:rPr>
          <w:rFonts w:ascii="Arial" w:hAnsi="Arial" w:cs="Arial"/>
          <w:sz w:val="20"/>
          <w:szCs w:val="20"/>
          <w:u w:val="none"/>
        </w:rPr>
        <w:t xml:space="preserve"> 5-2026</w:t>
      </w:r>
    </w:p>
    <w:p w14:paraId="25461E44" w14:textId="7DE80CFF" w:rsidR="004E7131" w:rsidRPr="004E0406" w:rsidRDefault="004E7131" w:rsidP="004E7131">
      <w:pPr>
        <w:pStyle w:val="BodyText"/>
        <w:tabs>
          <w:tab w:val="left" w:pos="5841"/>
        </w:tabs>
        <w:spacing w:before="61" w:line="348" w:lineRule="auto"/>
        <w:ind w:left="90" w:right="90" w:firstLine="0"/>
        <w:jc w:val="center"/>
        <w:rPr>
          <w:rFonts w:ascii="Arial" w:hAnsi="Arial" w:cs="Arial"/>
          <w:sz w:val="20"/>
          <w:szCs w:val="20"/>
          <w:u w:val="none"/>
        </w:rPr>
      </w:pPr>
      <w:r w:rsidRPr="004E0406">
        <w:rPr>
          <w:rFonts w:ascii="Arial" w:hAnsi="Arial" w:cs="Arial"/>
          <w:sz w:val="20"/>
          <w:szCs w:val="20"/>
          <w:u w:val="none"/>
        </w:rPr>
        <w:t>Borough of Bloomingdale, Passaic County</w:t>
      </w:r>
    </w:p>
    <w:p w14:paraId="469A8867" w14:textId="77777777" w:rsidR="004E7131" w:rsidRPr="004E0406" w:rsidRDefault="004E7131" w:rsidP="004E7131">
      <w:pPr>
        <w:ind w:left="279" w:right="278"/>
        <w:jc w:val="center"/>
        <w:rPr>
          <w:rFonts w:cs="Arial"/>
          <w:szCs w:val="20"/>
        </w:rPr>
      </w:pPr>
      <w:r w:rsidRPr="004E0406">
        <w:rPr>
          <w:rFonts w:cs="Arial"/>
          <w:szCs w:val="20"/>
        </w:rPr>
        <w:t xml:space="preserve">AN ORDINANCE AMENDING THE LAND USE ORDINANCE </w:t>
      </w:r>
    </w:p>
    <w:p w14:paraId="316FB66E" w14:textId="2B4E01CC" w:rsidR="004E7131" w:rsidRPr="004E0406" w:rsidRDefault="004E7131" w:rsidP="004E7131">
      <w:pPr>
        <w:ind w:left="279" w:right="278"/>
        <w:jc w:val="center"/>
        <w:rPr>
          <w:rFonts w:cs="Arial"/>
          <w:szCs w:val="20"/>
        </w:rPr>
      </w:pPr>
      <w:r w:rsidRPr="004E0406">
        <w:rPr>
          <w:rFonts w:cs="Arial"/>
          <w:szCs w:val="20"/>
        </w:rPr>
        <w:t>OF THE BORO</w:t>
      </w:r>
      <w:r w:rsidR="0048098D">
        <w:rPr>
          <w:rFonts w:cs="Arial"/>
          <w:szCs w:val="20"/>
        </w:rPr>
        <w:t>UG</w:t>
      </w:r>
      <w:r w:rsidRPr="004E0406">
        <w:rPr>
          <w:rFonts w:cs="Arial"/>
          <w:szCs w:val="20"/>
        </w:rPr>
        <w:t xml:space="preserve">H OF BLOOMINGDALE TO AMEND CHAPTER </w:t>
      </w:r>
      <w:r w:rsidR="00563A43" w:rsidRPr="004E0406">
        <w:rPr>
          <w:rFonts w:cs="Arial"/>
          <w:szCs w:val="20"/>
        </w:rPr>
        <w:t xml:space="preserve">92 </w:t>
      </w:r>
      <w:r w:rsidRPr="004E0406">
        <w:rPr>
          <w:rFonts w:cs="Arial"/>
          <w:szCs w:val="20"/>
        </w:rPr>
        <w:t xml:space="preserve">ZONING, </w:t>
      </w:r>
      <w:r w:rsidR="00563A43" w:rsidRPr="004E0406">
        <w:rPr>
          <w:rFonts w:cs="Arial"/>
          <w:szCs w:val="20"/>
        </w:rPr>
        <w:t xml:space="preserve">ARTICLE XII SCHEDULE OF REGULATIONS </w:t>
      </w:r>
      <w:r w:rsidRPr="004E0406">
        <w:rPr>
          <w:rFonts w:cs="Arial"/>
          <w:szCs w:val="20"/>
        </w:rPr>
        <w:t xml:space="preserve">TO </w:t>
      </w:r>
      <w:r w:rsidR="00563A43" w:rsidRPr="004E0406">
        <w:rPr>
          <w:rFonts w:cs="Arial"/>
          <w:szCs w:val="20"/>
        </w:rPr>
        <w:t xml:space="preserve">AMEND THE BOROUGH’S INCLUSIONARY HOUSING DISTRICTS </w:t>
      </w:r>
      <w:r w:rsidRPr="004E0406">
        <w:rPr>
          <w:rFonts w:cs="Arial"/>
          <w:szCs w:val="20"/>
        </w:rPr>
        <w:t xml:space="preserve">CONSISTENT WITH AND DESIGNED TO EFFECTUATE THE </w:t>
      </w:r>
      <w:r w:rsidR="0048098D">
        <w:rPr>
          <w:rFonts w:cs="Arial"/>
          <w:szCs w:val="20"/>
        </w:rPr>
        <w:t>BOROUGH</w:t>
      </w:r>
      <w:r w:rsidRPr="004E0406">
        <w:rPr>
          <w:rFonts w:cs="Arial"/>
          <w:szCs w:val="20"/>
        </w:rPr>
        <w:t>’S ADOPTED 2025 ROUND 4 HOUSING ELEMENT AND FAIR SHARE PLAN AND 2025 MEDIATION AGREEMENT WITH FAIR SHARE HOUSING CENTER</w:t>
      </w:r>
    </w:p>
    <w:p w14:paraId="4F0960BD" w14:textId="77777777" w:rsidR="00563A43" w:rsidRPr="004E0406" w:rsidRDefault="00563A43" w:rsidP="00563A43">
      <w:pPr>
        <w:ind w:left="279" w:right="278"/>
        <w:rPr>
          <w:rFonts w:cs="Arial"/>
          <w:szCs w:val="20"/>
        </w:rPr>
      </w:pPr>
    </w:p>
    <w:p w14:paraId="476859FF" w14:textId="3F803B34" w:rsidR="00563A43" w:rsidRPr="004E0406" w:rsidRDefault="00563A43" w:rsidP="00563A43">
      <w:pPr>
        <w:rPr>
          <w:rFonts w:cs="Arial"/>
          <w:szCs w:val="20"/>
        </w:rPr>
      </w:pPr>
      <w:r w:rsidRPr="004E0406">
        <w:rPr>
          <w:rFonts w:cs="Arial"/>
          <w:b/>
          <w:bCs/>
          <w:szCs w:val="20"/>
        </w:rPr>
        <w:t>WHEREAS,</w:t>
      </w:r>
      <w:r w:rsidRPr="004E0406">
        <w:rPr>
          <w:rFonts w:cs="Arial"/>
          <w:szCs w:val="20"/>
        </w:rPr>
        <w:t xml:space="preserve"> the Borough adopted a Fourth Round Housing Element and Fair Share Plan in June 2025 in order to satisfy its Round 4 affordable housing obligation; and</w:t>
      </w:r>
    </w:p>
    <w:p w14:paraId="09516C26" w14:textId="2919ADAA" w:rsidR="00563A43" w:rsidRPr="004E0406" w:rsidRDefault="00563A43" w:rsidP="00563A43">
      <w:pPr>
        <w:rPr>
          <w:rFonts w:cs="Arial"/>
          <w:szCs w:val="20"/>
        </w:rPr>
      </w:pPr>
      <w:r w:rsidRPr="004E0406">
        <w:rPr>
          <w:rFonts w:cs="Arial"/>
          <w:b/>
          <w:bCs/>
          <w:szCs w:val="20"/>
        </w:rPr>
        <w:t>WHEREAS,</w:t>
      </w:r>
      <w:r w:rsidRPr="004E0406">
        <w:rPr>
          <w:rFonts w:cs="Arial"/>
          <w:szCs w:val="20"/>
        </w:rPr>
        <w:t xml:space="preserve"> the Borough entered into a Mediation Agreement with Fair Share Housing Center on December 24, 2025 in the Matter of the Application of the Borough of Bloomingdale’s Housing Element and Fair Share Plan (Docket No.: PAS-L-283-25); and </w:t>
      </w:r>
    </w:p>
    <w:p w14:paraId="13AE9F7C" w14:textId="77D26DF8" w:rsidR="00563A43" w:rsidRPr="004E0406" w:rsidRDefault="00563A43" w:rsidP="00563A43">
      <w:pPr>
        <w:rPr>
          <w:rFonts w:cs="Arial"/>
          <w:szCs w:val="20"/>
        </w:rPr>
      </w:pPr>
      <w:r w:rsidRPr="004E0406">
        <w:rPr>
          <w:rFonts w:cs="Arial"/>
          <w:b/>
          <w:bCs/>
          <w:szCs w:val="20"/>
        </w:rPr>
        <w:t>WHEREAS,</w:t>
      </w:r>
      <w:r w:rsidRPr="004E0406">
        <w:rPr>
          <w:rFonts w:cs="Arial"/>
          <w:szCs w:val="20"/>
        </w:rPr>
        <w:t xml:space="preserve"> the Mediation Agreement set forth that the affordable housing set-aside in the B-1, B-1-A, BCD, and R-M Zone districts shall be 20% regardless of tenure; and</w:t>
      </w:r>
    </w:p>
    <w:p w14:paraId="2D291BEF" w14:textId="77777777" w:rsidR="00563A43" w:rsidRPr="004E0406" w:rsidRDefault="00563A43" w:rsidP="00563A43">
      <w:pPr>
        <w:rPr>
          <w:rFonts w:cs="Arial"/>
          <w:szCs w:val="20"/>
        </w:rPr>
      </w:pPr>
      <w:r w:rsidRPr="004E0406">
        <w:rPr>
          <w:rFonts w:cs="Arial"/>
          <w:b/>
          <w:bCs/>
          <w:szCs w:val="20"/>
        </w:rPr>
        <w:t>WHEREAS,</w:t>
      </w:r>
      <w:r w:rsidRPr="004E0406">
        <w:rPr>
          <w:rFonts w:cs="Arial"/>
          <w:szCs w:val="20"/>
        </w:rPr>
        <w:t xml:space="preserve"> the zoning herein is consistent with the Mediation Agreement with Fair Share Housing Center, as well as the 2025 Housing Element and Fair Share Plan; and </w:t>
      </w:r>
    </w:p>
    <w:p w14:paraId="1D216908" w14:textId="37C08A1B" w:rsidR="00563A43" w:rsidRPr="004E0406" w:rsidRDefault="00563A43" w:rsidP="00563A43">
      <w:pPr>
        <w:rPr>
          <w:rFonts w:cs="Arial"/>
          <w:szCs w:val="20"/>
        </w:rPr>
      </w:pPr>
      <w:r w:rsidRPr="004E0406">
        <w:rPr>
          <w:rFonts w:cs="Arial"/>
          <w:b/>
          <w:bCs/>
          <w:szCs w:val="20"/>
        </w:rPr>
        <w:t>NOW, THEREFORE, BE IT ORDAINED</w:t>
      </w:r>
      <w:r w:rsidRPr="004E0406">
        <w:rPr>
          <w:rFonts w:cs="Arial"/>
          <w:szCs w:val="20"/>
        </w:rPr>
        <w:t xml:space="preserve"> by the Borough Council of the Borough of Bloomingdale, Passaic County, New Jersey, that the Code of the Borough of Bloomingdale is hereby amended as follows:</w:t>
      </w:r>
    </w:p>
    <w:p w14:paraId="50AAFFE9" w14:textId="77777777" w:rsidR="00563A43" w:rsidRPr="004E0406" w:rsidRDefault="00563A43" w:rsidP="00563A43">
      <w:pPr>
        <w:ind w:left="279" w:right="278"/>
        <w:rPr>
          <w:rFonts w:cs="Arial"/>
          <w:b/>
          <w:bCs/>
          <w:szCs w:val="20"/>
        </w:rPr>
      </w:pPr>
    </w:p>
    <w:p w14:paraId="79034C04" w14:textId="12896620" w:rsidR="00563A43" w:rsidRPr="004E0406" w:rsidRDefault="00563A43" w:rsidP="00563A43">
      <w:pPr>
        <w:rPr>
          <w:rFonts w:cs="Arial"/>
          <w:b/>
          <w:i/>
          <w:szCs w:val="20"/>
        </w:rPr>
      </w:pPr>
      <w:r w:rsidRPr="004E0406">
        <w:rPr>
          <w:rFonts w:cs="Arial"/>
          <w:b/>
          <w:i/>
          <w:szCs w:val="20"/>
          <w:u w:val="single"/>
        </w:rPr>
        <w:t>SECTION 1. Amend Section 92-50 R-M In-Town Apartment and Senior Citizen Housing Zone as follows:</w:t>
      </w:r>
    </w:p>
    <w:p w14:paraId="0E8836EF" w14:textId="77777777" w:rsidR="00563A43" w:rsidRPr="004E0406" w:rsidRDefault="00563A43" w:rsidP="00563A43">
      <w:pPr>
        <w:spacing w:before="116"/>
        <w:rPr>
          <w:rFonts w:cs="Arial"/>
          <w:b/>
          <w:szCs w:val="20"/>
        </w:rPr>
      </w:pPr>
      <w:r w:rsidRPr="004E0406">
        <w:rPr>
          <w:rFonts w:cs="Arial"/>
          <w:szCs w:val="20"/>
        </w:rPr>
        <w:t xml:space="preserve">Additions are shown as </w:t>
      </w:r>
      <w:r w:rsidRPr="004E0406">
        <w:rPr>
          <w:rFonts w:cs="Arial"/>
          <w:b/>
          <w:szCs w:val="20"/>
          <w:u w:val="single"/>
        </w:rPr>
        <w:t>thus</w:t>
      </w:r>
      <w:r w:rsidRPr="004E0406">
        <w:rPr>
          <w:rFonts w:cs="Arial"/>
          <w:szCs w:val="20"/>
        </w:rPr>
        <w:t xml:space="preserve">; deletions shown as </w:t>
      </w:r>
      <w:r w:rsidRPr="004E0406">
        <w:rPr>
          <w:rFonts w:cs="Arial"/>
          <w:b/>
          <w:strike/>
          <w:szCs w:val="20"/>
        </w:rPr>
        <w:t>thus</w:t>
      </w:r>
    </w:p>
    <w:p w14:paraId="31F8A3BB" w14:textId="77777777" w:rsidR="00563A43" w:rsidRPr="004E0406" w:rsidRDefault="00563A43" w:rsidP="00563A43">
      <w:pPr>
        <w:ind w:right="278"/>
        <w:rPr>
          <w:rFonts w:cs="Arial"/>
          <w:szCs w:val="20"/>
        </w:rPr>
      </w:pPr>
    </w:p>
    <w:p w14:paraId="6070C58E" w14:textId="0D85A15C" w:rsidR="004E7131" w:rsidRPr="004E0406" w:rsidRDefault="004E7131" w:rsidP="004E7131">
      <w:pPr>
        <w:rPr>
          <w:rFonts w:cs="Arial"/>
          <w:szCs w:val="20"/>
        </w:rPr>
      </w:pPr>
      <w:r w:rsidRPr="004E0406">
        <w:rPr>
          <w:rFonts w:cs="Arial"/>
          <w:szCs w:val="20"/>
        </w:rPr>
        <w:t>§ 92-50. R-M In-Town Apartment and Senior Citizen Housing Zone</w:t>
      </w:r>
      <w:r w:rsidR="00563A43" w:rsidRPr="004E0406">
        <w:rPr>
          <w:rFonts w:cs="Arial"/>
          <w:szCs w:val="20"/>
        </w:rPr>
        <w:t>.</w:t>
      </w:r>
    </w:p>
    <w:p w14:paraId="6157AF93" w14:textId="1E6182A5" w:rsidR="004E7131" w:rsidRPr="004E0406" w:rsidRDefault="004E7131" w:rsidP="004E7131">
      <w:pPr>
        <w:rPr>
          <w:rFonts w:cs="Arial"/>
          <w:szCs w:val="20"/>
        </w:rPr>
      </w:pPr>
      <w:r w:rsidRPr="004E0406">
        <w:rPr>
          <w:rFonts w:cs="Arial"/>
          <w:szCs w:val="20"/>
        </w:rPr>
        <w:t>The following regulations shall apply in the R-M Zone:</w:t>
      </w:r>
    </w:p>
    <w:p w14:paraId="7BF7962E" w14:textId="77777777" w:rsidR="004E7131" w:rsidRPr="004E0406" w:rsidRDefault="004E7131" w:rsidP="004E7131">
      <w:pPr>
        <w:rPr>
          <w:rFonts w:cs="Arial"/>
          <w:szCs w:val="20"/>
        </w:rPr>
      </w:pPr>
      <w:r w:rsidRPr="004E0406">
        <w:rPr>
          <w:rFonts w:cs="Arial"/>
          <w:szCs w:val="20"/>
        </w:rPr>
        <w:t>…</w:t>
      </w:r>
    </w:p>
    <w:p w14:paraId="1EF9E2B6" w14:textId="5EE00CCA" w:rsidR="004E7131" w:rsidRPr="004E0406" w:rsidRDefault="004E7131" w:rsidP="004E7131">
      <w:pPr>
        <w:ind w:left="720" w:hanging="720"/>
        <w:rPr>
          <w:rFonts w:cs="Arial"/>
          <w:szCs w:val="20"/>
        </w:rPr>
      </w:pPr>
      <w:r w:rsidRPr="004E0406">
        <w:rPr>
          <w:rFonts w:cs="Arial"/>
          <w:szCs w:val="20"/>
        </w:rPr>
        <w:t>D.</w:t>
      </w:r>
      <w:r w:rsidRPr="004E0406">
        <w:rPr>
          <w:rFonts w:cs="Arial"/>
          <w:szCs w:val="20"/>
        </w:rPr>
        <w:tab/>
        <w:t xml:space="preserve">Development Regulations for garden apartments, and, as a conditional use, apartments for senior citizens. </w:t>
      </w:r>
    </w:p>
    <w:p w14:paraId="6ECBF819" w14:textId="77777777" w:rsidR="004E7131" w:rsidRPr="004E0406" w:rsidRDefault="004E7131" w:rsidP="004E7131">
      <w:pPr>
        <w:pStyle w:val="ListParagraph"/>
        <w:contextualSpacing w:val="0"/>
        <w:rPr>
          <w:rFonts w:cs="Arial"/>
          <w:szCs w:val="20"/>
        </w:rPr>
      </w:pPr>
      <w:r w:rsidRPr="004E0406">
        <w:rPr>
          <w:rFonts w:cs="Arial"/>
          <w:szCs w:val="20"/>
        </w:rPr>
        <w:t>…</w:t>
      </w:r>
    </w:p>
    <w:p w14:paraId="21F9BC89" w14:textId="0D3A8A94" w:rsidR="004E7131" w:rsidRPr="004E0406" w:rsidRDefault="004E7131" w:rsidP="004E7131">
      <w:pPr>
        <w:ind w:left="1440" w:hanging="720"/>
        <w:rPr>
          <w:rFonts w:cs="Arial"/>
          <w:szCs w:val="20"/>
        </w:rPr>
      </w:pPr>
      <w:r w:rsidRPr="004E0406">
        <w:rPr>
          <w:rFonts w:cs="Arial"/>
          <w:szCs w:val="20"/>
        </w:rPr>
        <w:t>14.</w:t>
      </w:r>
      <w:r w:rsidRPr="004E0406">
        <w:rPr>
          <w:rFonts w:cs="Arial"/>
          <w:szCs w:val="20"/>
        </w:rPr>
        <w:tab/>
        <w:t xml:space="preserve">Development Regulations for garden apartments, and, as a conditional use, apartments for senior citizens. </w:t>
      </w:r>
    </w:p>
    <w:p w14:paraId="04C2AB5D" w14:textId="77777777" w:rsidR="004E7131" w:rsidRPr="004E0406" w:rsidRDefault="004E7131" w:rsidP="004E7131">
      <w:pPr>
        <w:pStyle w:val="ListParagraph"/>
        <w:numPr>
          <w:ilvl w:val="2"/>
          <w:numId w:val="1"/>
        </w:numPr>
        <w:contextualSpacing w:val="0"/>
        <w:rPr>
          <w:rFonts w:cs="Arial"/>
          <w:szCs w:val="20"/>
        </w:rPr>
      </w:pPr>
      <w:r w:rsidRPr="004E0406">
        <w:rPr>
          <w:rFonts w:cs="Arial"/>
          <w:szCs w:val="20"/>
        </w:rPr>
        <w:t>A mandatory affordable housing set-aside standard shall apply for any development consisting of five or more new dwelling units.</w:t>
      </w:r>
    </w:p>
    <w:p w14:paraId="3B34CF39" w14:textId="371B18F0" w:rsidR="004E7131" w:rsidRPr="004E0406" w:rsidRDefault="004E7131" w:rsidP="004E7131">
      <w:pPr>
        <w:pStyle w:val="ListParagraph"/>
        <w:numPr>
          <w:ilvl w:val="2"/>
          <w:numId w:val="1"/>
        </w:numPr>
        <w:contextualSpacing w:val="0"/>
        <w:rPr>
          <w:rFonts w:cs="Arial"/>
          <w:szCs w:val="20"/>
        </w:rPr>
      </w:pPr>
      <w:r w:rsidRPr="004E0406">
        <w:rPr>
          <w:rFonts w:cs="Arial"/>
          <w:szCs w:val="20"/>
        </w:rPr>
        <w:t xml:space="preserve">The set-aside of affordable units </w:t>
      </w:r>
      <w:r w:rsidRPr="004E0406">
        <w:rPr>
          <w:rFonts w:cs="Arial"/>
          <w:b/>
          <w:bCs/>
          <w:szCs w:val="20"/>
          <w:u w:val="single"/>
        </w:rPr>
        <w:t>shall be 20% for both for sale and rental units.</w:t>
      </w:r>
      <w:r w:rsidRPr="004E0406">
        <w:rPr>
          <w:rFonts w:cs="Arial"/>
          <w:szCs w:val="20"/>
        </w:rPr>
        <w:t xml:space="preserve"> </w:t>
      </w:r>
      <w:r w:rsidRPr="004E0406">
        <w:rPr>
          <w:rFonts w:cs="Arial"/>
          <w:b/>
          <w:bCs/>
          <w:strike/>
          <w:szCs w:val="20"/>
        </w:rPr>
        <w:t xml:space="preserve">which are to be offered for sale shall be 20%. The set-aside of affordable units which are to be offered for rental shall be 15%. </w:t>
      </w:r>
      <w:r w:rsidRPr="004E0406">
        <w:rPr>
          <w:rFonts w:cs="Arial"/>
          <w:szCs w:val="20"/>
        </w:rPr>
        <w:t>For developments where the set-aside results in a decimal, 0.4</w:t>
      </w:r>
      <w:r w:rsidR="00F1192E" w:rsidRPr="00F1192E">
        <w:rPr>
          <w:rFonts w:cs="Arial"/>
          <w:b/>
          <w:bCs/>
          <w:szCs w:val="20"/>
          <w:u w:val="single"/>
        </w:rPr>
        <w:t>9</w:t>
      </w:r>
      <w:r w:rsidR="00F1192E" w:rsidRPr="004E0406">
        <w:rPr>
          <w:rFonts w:cs="Arial"/>
          <w:szCs w:val="20"/>
        </w:rPr>
        <w:t xml:space="preserve"> </w:t>
      </w:r>
      <w:r w:rsidRPr="004E0406">
        <w:rPr>
          <w:rFonts w:cs="Arial"/>
          <w:szCs w:val="20"/>
        </w:rPr>
        <w:t xml:space="preserve"> and below shall be rounded down and 0.5 and above shall be rounded up.</w:t>
      </w:r>
    </w:p>
    <w:p w14:paraId="73FE9FA3" w14:textId="77777777" w:rsidR="004E7131" w:rsidRPr="004E0406" w:rsidRDefault="004E7131" w:rsidP="004E7131">
      <w:pPr>
        <w:pStyle w:val="ListParagraph"/>
        <w:numPr>
          <w:ilvl w:val="2"/>
          <w:numId w:val="1"/>
        </w:numPr>
        <w:contextualSpacing w:val="0"/>
        <w:rPr>
          <w:rFonts w:cs="Arial"/>
          <w:szCs w:val="20"/>
        </w:rPr>
      </w:pPr>
      <w:r w:rsidRPr="004E0406">
        <w:rPr>
          <w:rFonts w:cs="Arial"/>
          <w:szCs w:val="20"/>
        </w:rPr>
        <w:t>No payments in lieu of the affordable housing set-aside shall be permitted or collected.</w:t>
      </w:r>
    </w:p>
    <w:p w14:paraId="0A3F1991" w14:textId="77777777" w:rsidR="004E7131" w:rsidRPr="004E0406" w:rsidRDefault="004E7131" w:rsidP="004E7131">
      <w:pPr>
        <w:pStyle w:val="ListParagraph"/>
        <w:numPr>
          <w:ilvl w:val="2"/>
          <w:numId w:val="1"/>
        </w:numPr>
        <w:contextualSpacing w:val="0"/>
        <w:rPr>
          <w:rFonts w:cs="Arial"/>
          <w:szCs w:val="20"/>
        </w:rPr>
      </w:pPr>
      <w:r w:rsidRPr="004E0406">
        <w:rPr>
          <w:rFonts w:cs="Arial"/>
          <w:szCs w:val="20"/>
        </w:rPr>
        <w:lastRenderedPageBreak/>
        <w:t xml:space="preserve">The affordable units shall comply with the Borough's affordable housing regulations in Chapter 12 of the Borough Ordinances. This includes, but is not limited to, affordability controls </w:t>
      </w:r>
      <w:r w:rsidRPr="004E0406">
        <w:rPr>
          <w:rFonts w:cs="Arial"/>
          <w:b/>
          <w:bCs/>
          <w:strike/>
          <w:szCs w:val="20"/>
        </w:rPr>
        <w:t>of not less than 30 years</w:t>
      </w:r>
      <w:r w:rsidRPr="004E0406">
        <w:rPr>
          <w:rFonts w:cs="Arial"/>
          <w:szCs w:val="20"/>
        </w:rPr>
        <w:t>, proper distribution of one-, two- and three-bedroom affordable units, proper distribution of very-low-, low- and moderate-income units, and affirmative marketing.</w:t>
      </w:r>
    </w:p>
    <w:p w14:paraId="31C491FD" w14:textId="77777777" w:rsidR="004E7131" w:rsidRPr="004E0406" w:rsidRDefault="004E7131" w:rsidP="004E7131">
      <w:pPr>
        <w:pStyle w:val="ListParagraph"/>
        <w:numPr>
          <w:ilvl w:val="2"/>
          <w:numId w:val="1"/>
        </w:numPr>
        <w:contextualSpacing w:val="0"/>
        <w:rPr>
          <w:rFonts w:cs="Arial"/>
          <w:szCs w:val="20"/>
        </w:rPr>
      </w:pPr>
      <w:r w:rsidRPr="004E0406">
        <w:rPr>
          <w:rFonts w:cs="Arial"/>
          <w:szCs w:val="20"/>
        </w:rPr>
        <w:t>This standard does not create any entitlement for a property owner or applicant for a zoning amendment, variance, site plan approval, or adoption of a Redevelopment Plan or amended Redevelopment Plan in areas in need of redevelopment or rehabilitation, or for approval of any particular proposed project.</w:t>
      </w:r>
    </w:p>
    <w:p w14:paraId="5D21673B" w14:textId="259879D1" w:rsidR="004E7131" w:rsidRPr="004E0406" w:rsidRDefault="004E7131" w:rsidP="004E7131">
      <w:pPr>
        <w:pStyle w:val="ListParagraph"/>
        <w:numPr>
          <w:ilvl w:val="2"/>
          <w:numId w:val="1"/>
        </w:numPr>
        <w:contextualSpacing w:val="0"/>
        <w:rPr>
          <w:rFonts w:cs="Arial"/>
          <w:b/>
          <w:bCs/>
          <w:strike/>
          <w:szCs w:val="20"/>
        </w:rPr>
      </w:pPr>
      <w:r w:rsidRPr="004E0406">
        <w:rPr>
          <w:rFonts w:cs="Arial"/>
          <w:b/>
          <w:bCs/>
          <w:strike/>
          <w:szCs w:val="20"/>
        </w:rPr>
        <w:t>Borough may seek to continue its substantive certification by way of the Superior Court of the State of NJ or a future administrative agency with jurisdiction over the certification process. In the event such a court or administrative agency approves a plan that deviates from the set-aside provisions of this section, then the order of the court or the administrative agency shall prevail. Ground floor dwelling units shall be exempt from the requirements listed in 92-55.2P</w:t>
      </w:r>
    </w:p>
    <w:p w14:paraId="658237D8" w14:textId="77777777" w:rsidR="004E7131" w:rsidRPr="004E0406" w:rsidRDefault="004E7131" w:rsidP="004E7131">
      <w:pPr>
        <w:ind w:left="720"/>
        <w:rPr>
          <w:rFonts w:cs="Arial"/>
          <w:szCs w:val="20"/>
        </w:rPr>
      </w:pPr>
      <w:r w:rsidRPr="004E0406">
        <w:rPr>
          <w:rFonts w:cs="Arial"/>
          <w:szCs w:val="20"/>
        </w:rPr>
        <w:t>…</w:t>
      </w:r>
    </w:p>
    <w:p w14:paraId="4FA54B82" w14:textId="77777777" w:rsidR="004E7131" w:rsidRPr="004E0406" w:rsidRDefault="004E7131" w:rsidP="004E7131">
      <w:pPr>
        <w:rPr>
          <w:rFonts w:cs="Arial"/>
          <w:szCs w:val="20"/>
        </w:rPr>
      </w:pPr>
    </w:p>
    <w:p w14:paraId="31F10721" w14:textId="33616155" w:rsidR="00563A43" w:rsidRPr="004E0406" w:rsidRDefault="00563A43" w:rsidP="00563A43">
      <w:pPr>
        <w:rPr>
          <w:rFonts w:cs="Arial"/>
          <w:b/>
          <w:i/>
          <w:szCs w:val="20"/>
        </w:rPr>
      </w:pPr>
      <w:r w:rsidRPr="004E0406">
        <w:rPr>
          <w:rFonts w:cs="Arial"/>
          <w:b/>
          <w:i/>
          <w:szCs w:val="20"/>
          <w:u w:val="single"/>
        </w:rPr>
        <w:t>SECTION 2. Amend Section 92-55. B-1 General Business Zone as follows:</w:t>
      </w:r>
    </w:p>
    <w:p w14:paraId="06AB484C" w14:textId="77777777" w:rsidR="00563A43" w:rsidRPr="004E0406" w:rsidRDefault="00563A43" w:rsidP="00563A43">
      <w:pPr>
        <w:spacing w:before="116"/>
        <w:rPr>
          <w:rFonts w:cs="Arial"/>
          <w:b/>
          <w:szCs w:val="20"/>
        </w:rPr>
      </w:pPr>
      <w:r w:rsidRPr="004E0406">
        <w:rPr>
          <w:rFonts w:cs="Arial"/>
          <w:szCs w:val="20"/>
        </w:rPr>
        <w:t xml:space="preserve">Additions are shown as </w:t>
      </w:r>
      <w:r w:rsidRPr="004E0406">
        <w:rPr>
          <w:rFonts w:cs="Arial"/>
          <w:b/>
          <w:szCs w:val="20"/>
          <w:u w:val="single"/>
        </w:rPr>
        <w:t>thus</w:t>
      </w:r>
      <w:r w:rsidRPr="004E0406">
        <w:rPr>
          <w:rFonts w:cs="Arial"/>
          <w:szCs w:val="20"/>
        </w:rPr>
        <w:t xml:space="preserve">; deletions shown as </w:t>
      </w:r>
      <w:r w:rsidRPr="004E0406">
        <w:rPr>
          <w:rFonts w:cs="Arial"/>
          <w:b/>
          <w:strike/>
          <w:szCs w:val="20"/>
        </w:rPr>
        <w:t>thus</w:t>
      </w:r>
    </w:p>
    <w:p w14:paraId="02953A7A" w14:textId="77777777" w:rsidR="00563A43" w:rsidRPr="004E0406" w:rsidRDefault="00563A43" w:rsidP="004E7131">
      <w:pPr>
        <w:rPr>
          <w:rFonts w:cs="Arial"/>
          <w:szCs w:val="20"/>
        </w:rPr>
      </w:pPr>
    </w:p>
    <w:p w14:paraId="3DA8273E" w14:textId="6A68940A" w:rsidR="004E7131" w:rsidRPr="004E0406" w:rsidRDefault="004E7131" w:rsidP="004E7131">
      <w:pPr>
        <w:rPr>
          <w:rFonts w:cs="Arial"/>
          <w:szCs w:val="20"/>
        </w:rPr>
      </w:pPr>
      <w:r w:rsidRPr="004E0406">
        <w:rPr>
          <w:rFonts w:cs="Arial"/>
          <w:szCs w:val="20"/>
        </w:rPr>
        <w:t xml:space="preserve">§ 92-55. B-1 General Business Zone. </w:t>
      </w:r>
    </w:p>
    <w:p w14:paraId="7C5DBFB1" w14:textId="6E843A00" w:rsidR="004E7131" w:rsidRPr="004E0406" w:rsidRDefault="004E7131" w:rsidP="004E7131">
      <w:pPr>
        <w:rPr>
          <w:rFonts w:cs="Arial"/>
          <w:szCs w:val="20"/>
        </w:rPr>
      </w:pPr>
      <w:r w:rsidRPr="004E0406">
        <w:rPr>
          <w:rFonts w:cs="Arial"/>
          <w:szCs w:val="20"/>
        </w:rPr>
        <w:t>The following regulations shall apply in the B-1 Zone:</w:t>
      </w:r>
    </w:p>
    <w:p w14:paraId="338FDCD7" w14:textId="77777777" w:rsidR="004E7131" w:rsidRPr="004E0406" w:rsidRDefault="004E7131" w:rsidP="004E7131">
      <w:pPr>
        <w:rPr>
          <w:rFonts w:cs="Arial"/>
          <w:szCs w:val="20"/>
        </w:rPr>
      </w:pPr>
      <w:r w:rsidRPr="004E0406">
        <w:rPr>
          <w:rFonts w:cs="Arial"/>
          <w:szCs w:val="20"/>
        </w:rPr>
        <w:t>…</w:t>
      </w:r>
    </w:p>
    <w:p w14:paraId="2B9E2DA1" w14:textId="77777777" w:rsidR="004E7131" w:rsidRPr="004E0406" w:rsidRDefault="004E7131" w:rsidP="004E7131">
      <w:pPr>
        <w:pStyle w:val="ListParagraph"/>
        <w:numPr>
          <w:ilvl w:val="0"/>
          <w:numId w:val="1"/>
        </w:numPr>
        <w:contextualSpacing w:val="0"/>
        <w:rPr>
          <w:rFonts w:cs="Arial"/>
          <w:szCs w:val="20"/>
        </w:rPr>
      </w:pPr>
      <w:r w:rsidRPr="004E0406">
        <w:rPr>
          <w:rFonts w:cs="Arial"/>
          <w:szCs w:val="20"/>
        </w:rPr>
        <w:t>Conditional uses to be acted upon by the Planning Board, subject to § 92-24.</w:t>
      </w:r>
    </w:p>
    <w:p w14:paraId="04BD07F6" w14:textId="77C1E913" w:rsidR="004E7131" w:rsidRPr="004E0406" w:rsidRDefault="004E7131" w:rsidP="004E7131">
      <w:pPr>
        <w:pStyle w:val="ListParagraph"/>
        <w:contextualSpacing w:val="0"/>
        <w:rPr>
          <w:rFonts w:cs="Arial"/>
          <w:szCs w:val="20"/>
        </w:rPr>
      </w:pPr>
      <w:r w:rsidRPr="004E0406">
        <w:rPr>
          <w:rFonts w:cs="Arial"/>
          <w:szCs w:val="20"/>
        </w:rPr>
        <w:t>…</w:t>
      </w:r>
    </w:p>
    <w:p w14:paraId="4836AAA8" w14:textId="0C7CEDC7" w:rsidR="004E7131" w:rsidRPr="004E0406" w:rsidRDefault="004F36FD" w:rsidP="004E7131">
      <w:pPr>
        <w:pStyle w:val="ListParagraph"/>
        <w:numPr>
          <w:ilvl w:val="1"/>
          <w:numId w:val="1"/>
        </w:numPr>
        <w:contextualSpacing w:val="0"/>
        <w:rPr>
          <w:rFonts w:cs="Arial"/>
          <w:b/>
          <w:bCs/>
          <w:szCs w:val="20"/>
        </w:rPr>
      </w:pPr>
      <w:r w:rsidRPr="004F36FD">
        <w:rPr>
          <w:rFonts w:cs="Arial"/>
          <w:b/>
          <w:bCs/>
          <w:szCs w:val="20"/>
          <w:u w:val="single"/>
        </w:rPr>
        <w:t>Dwelling units, excluding the first story.</w:t>
      </w:r>
      <w:r w:rsidRPr="004F36FD">
        <w:rPr>
          <w:rFonts w:cs="Arial"/>
          <w:b/>
          <w:bCs/>
          <w:szCs w:val="20"/>
        </w:rPr>
        <w:t xml:space="preserve"> </w:t>
      </w:r>
      <w:r w:rsidR="004E7131" w:rsidRPr="004E0406">
        <w:rPr>
          <w:rFonts w:cs="Arial"/>
          <w:b/>
          <w:bCs/>
          <w:strike/>
          <w:szCs w:val="20"/>
        </w:rPr>
        <w:t>Dwelling units above permitted business uses.</w:t>
      </w:r>
      <w:r w:rsidR="004E7131" w:rsidRPr="004E0406">
        <w:rPr>
          <w:rFonts w:cs="Arial"/>
          <w:b/>
          <w:bCs/>
          <w:szCs w:val="20"/>
        </w:rPr>
        <w:t xml:space="preserve"> </w:t>
      </w:r>
    </w:p>
    <w:p w14:paraId="743DBDBE" w14:textId="77777777" w:rsidR="004E7131" w:rsidRPr="004E0406" w:rsidRDefault="004E7131" w:rsidP="004E7131">
      <w:pPr>
        <w:pStyle w:val="ListParagraph"/>
        <w:numPr>
          <w:ilvl w:val="2"/>
          <w:numId w:val="1"/>
        </w:numPr>
        <w:contextualSpacing w:val="0"/>
        <w:rPr>
          <w:rFonts w:cs="Arial"/>
          <w:szCs w:val="20"/>
        </w:rPr>
      </w:pPr>
      <w:r w:rsidRPr="004E0406">
        <w:rPr>
          <w:rFonts w:cs="Arial"/>
          <w:szCs w:val="20"/>
        </w:rPr>
        <w:t>A mandatory affordable housing set-aside standard shall apply for any development consisting of five or more new dwelling units.</w:t>
      </w:r>
    </w:p>
    <w:p w14:paraId="7FA507EC" w14:textId="149ED377" w:rsidR="004E7131" w:rsidRPr="004E0406" w:rsidRDefault="004E7131" w:rsidP="004E7131">
      <w:pPr>
        <w:pStyle w:val="ListParagraph"/>
        <w:numPr>
          <w:ilvl w:val="2"/>
          <w:numId w:val="1"/>
        </w:numPr>
        <w:contextualSpacing w:val="0"/>
        <w:rPr>
          <w:rFonts w:cs="Arial"/>
          <w:szCs w:val="20"/>
        </w:rPr>
      </w:pPr>
      <w:r w:rsidRPr="004E0406">
        <w:rPr>
          <w:rFonts w:cs="Arial"/>
          <w:szCs w:val="20"/>
        </w:rPr>
        <w:t xml:space="preserve">The set-aside of affordable units </w:t>
      </w:r>
      <w:r w:rsidRPr="004E0406">
        <w:rPr>
          <w:rFonts w:cs="Arial"/>
          <w:b/>
          <w:bCs/>
          <w:szCs w:val="20"/>
          <w:u w:val="single"/>
        </w:rPr>
        <w:t>shall be 20% for both for sale and rental units.</w:t>
      </w:r>
      <w:r w:rsidRPr="004E0406">
        <w:rPr>
          <w:rFonts w:cs="Arial"/>
          <w:szCs w:val="20"/>
        </w:rPr>
        <w:t xml:space="preserve"> </w:t>
      </w:r>
      <w:r w:rsidRPr="004E0406">
        <w:rPr>
          <w:rFonts w:cs="Arial"/>
          <w:b/>
          <w:bCs/>
          <w:strike/>
          <w:szCs w:val="20"/>
        </w:rPr>
        <w:t xml:space="preserve">which are to be offered for sale shall be 20%. The set-aside of affordable units which are to be offered for rental shall be 15%. </w:t>
      </w:r>
      <w:r w:rsidRPr="004E0406">
        <w:rPr>
          <w:rFonts w:cs="Arial"/>
          <w:szCs w:val="20"/>
        </w:rPr>
        <w:t>For developments where the set-aside results in a decimal, 0.4</w:t>
      </w:r>
      <w:r w:rsidR="006D54E1" w:rsidRPr="006D54E1">
        <w:rPr>
          <w:rFonts w:cs="Arial"/>
          <w:b/>
          <w:bCs/>
          <w:szCs w:val="20"/>
          <w:u w:val="single"/>
        </w:rPr>
        <w:t>9</w:t>
      </w:r>
      <w:r w:rsidRPr="004E0406">
        <w:rPr>
          <w:rFonts w:cs="Arial"/>
          <w:szCs w:val="20"/>
        </w:rPr>
        <w:t>and below shall be rounded down and 0.5 and above shall be rounded up.</w:t>
      </w:r>
    </w:p>
    <w:p w14:paraId="792DEA22" w14:textId="77777777" w:rsidR="004E7131" w:rsidRPr="004E0406" w:rsidRDefault="004E7131" w:rsidP="004E7131">
      <w:pPr>
        <w:pStyle w:val="ListParagraph"/>
        <w:numPr>
          <w:ilvl w:val="2"/>
          <w:numId w:val="1"/>
        </w:numPr>
        <w:contextualSpacing w:val="0"/>
        <w:rPr>
          <w:rFonts w:cs="Arial"/>
          <w:szCs w:val="20"/>
        </w:rPr>
      </w:pPr>
      <w:r w:rsidRPr="004E0406">
        <w:rPr>
          <w:rFonts w:cs="Arial"/>
          <w:szCs w:val="20"/>
        </w:rPr>
        <w:t>No payments in lieu of the affordable housing set-aside shall be permitted or collected.</w:t>
      </w:r>
    </w:p>
    <w:p w14:paraId="717C0EDD" w14:textId="77777777" w:rsidR="004E7131" w:rsidRPr="004E0406" w:rsidRDefault="004E7131" w:rsidP="004E7131">
      <w:pPr>
        <w:pStyle w:val="ListParagraph"/>
        <w:numPr>
          <w:ilvl w:val="2"/>
          <w:numId w:val="1"/>
        </w:numPr>
        <w:contextualSpacing w:val="0"/>
        <w:rPr>
          <w:rFonts w:cs="Arial"/>
          <w:szCs w:val="20"/>
        </w:rPr>
      </w:pPr>
      <w:r w:rsidRPr="004E0406">
        <w:rPr>
          <w:rFonts w:cs="Arial"/>
          <w:szCs w:val="20"/>
        </w:rPr>
        <w:t xml:space="preserve">The affordable units shall comply with the Borough's affordable housing regulations in Chapter 12 of the Borough Ordinances. This includes, but is not limited to, affordability controls </w:t>
      </w:r>
      <w:r w:rsidRPr="004E0406">
        <w:rPr>
          <w:rFonts w:cs="Arial"/>
          <w:b/>
          <w:bCs/>
          <w:strike/>
          <w:szCs w:val="20"/>
        </w:rPr>
        <w:t>of not less than 30 years</w:t>
      </w:r>
      <w:r w:rsidRPr="004E0406">
        <w:rPr>
          <w:rFonts w:cs="Arial"/>
          <w:szCs w:val="20"/>
        </w:rPr>
        <w:t>, proper distribution of one-, two- and three-bedroom affordable units, proper distribution of very-low-, low- and moderate-income units, and affirmative marketing.</w:t>
      </w:r>
    </w:p>
    <w:p w14:paraId="3F531F82" w14:textId="77777777" w:rsidR="004E7131" w:rsidRPr="004E0406" w:rsidRDefault="004E7131" w:rsidP="004E7131">
      <w:pPr>
        <w:pStyle w:val="ListParagraph"/>
        <w:numPr>
          <w:ilvl w:val="2"/>
          <w:numId w:val="1"/>
        </w:numPr>
        <w:contextualSpacing w:val="0"/>
        <w:rPr>
          <w:rFonts w:cs="Arial"/>
          <w:szCs w:val="20"/>
        </w:rPr>
      </w:pPr>
      <w:r w:rsidRPr="004E0406">
        <w:rPr>
          <w:rFonts w:cs="Arial"/>
          <w:szCs w:val="20"/>
        </w:rPr>
        <w:t>This standard does not create any entitlement for a property owner or applicant for a zoning amendment, variance, site plan approval, or adoption of a Redevelopment Plan or amended Redevelopment Plan in areas in need of redevelopment or rehabilitation, or for approval of any particular proposed project.</w:t>
      </w:r>
    </w:p>
    <w:p w14:paraId="72EC955E" w14:textId="2C232DFC" w:rsidR="004E7131" w:rsidRPr="004E0406" w:rsidRDefault="004E7131" w:rsidP="004E7131">
      <w:pPr>
        <w:pStyle w:val="ListParagraph"/>
        <w:numPr>
          <w:ilvl w:val="2"/>
          <w:numId w:val="1"/>
        </w:numPr>
        <w:contextualSpacing w:val="0"/>
        <w:rPr>
          <w:rFonts w:cs="Arial"/>
          <w:b/>
          <w:bCs/>
          <w:strike/>
          <w:szCs w:val="20"/>
        </w:rPr>
      </w:pPr>
      <w:r w:rsidRPr="004E0406">
        <w:rPr>
          <w:rFonts w:cs="Arial"/>
          <w:b/>
          <w:bCs/>
          <w:strike/>
          <w:szCs w:val="20"/>
        </w:rPr>
        <w:t>The Borough may seek to continue its substantive certification by way of the Superior Court of the State of NJ or a future administrative agency with jurisdiction over the certification process. In the event such a court or administrative agency approves a plan that deviates from the set-aside provisions of this section, then the order of the court or the administrative agency shall prevail. Ground floor dwelling units shall be exempt from the requirements listed in 92-55.2P</w:t>
      </w:r>
    </w:p>
    <w:p w14:paraId="792B1A80" w14:textId="77777777" w:rsidR="004E7131" w:rsidRPr="004E0406" w:rsidRDefault="004E7131" w:rsidP="004E7131">
      <w:pPr>
        <w:ind w:left="720"/>
        <w:rPr>
          <w:rFonts w:cs="Arial"/>
          <w:szCs w:val="20"/>
        </w:rPr>
      </w:pPr>
      <w:r w:rsidRPr="004E0406">
        <w:rPr>
          <w:rFonts w:cs="Arial"/>
          <w:szCs w:val="20"/>
        </w:rPr>
        <w:t>…</w:t>
      </w:r>
    </w:p>
    <w:p w14:paraId="620A3BE2" w14:textId="77777777" w:rsidR="004E7131" w:rsidRPr="004E0406" w:rsidRDefault="004E7131" w:rsidP="004E7131">
      <w:pPr>
        <w:rPr>
          <w:rFonts w:cs="Arial"/>
          <w:szCs w:val="20"/>
        </w:rPr>
      </w:pPr>
    </w:p>
    <w:p w14:paraId="7DC89ABF" w14:textId="77777777" w:rsidR="00563A43" w:rsidRPr="004E0406" w:rsidRDefault="00563A43" w:rsidP="00563A43">
      <w:pPr>
        <w:rPr>
          <w:rFonts w:cs="Arial"/>
          <w:szCs w:val="20"/>
        </w:rPr>
      </w:pPr>
    </w:p>
    <w:p w14:paraId="13E57CB0" w14:textId="3B1EAC16" w:rsidR="00563A43" w:rsidRPr="004E0406" w:rsidRDefault="00563A43" w:rsidP="00563A43">
      <w:pPr>
        <w:rPr>
          <w:rFonts w:cs="Arial"/>
          <w:b/>
          <w:i/>
          <w:szCs w:val="20"/>
        </w:rPr>
      </w:pPr>
      <w:r w:rsidRPr="004E0406">
        <w:rPr>
          <w:rFonts w:cs="Arial"/>
          <w:b/>
          <w:i/>
          <w:szCs w:val="20"/>
          <w:u w:val="single"/>
        </w:rPr>
        <w:t>SECTION 3. Amend Section 92-55.1. B-1-A Commercial Zone as follows:</w:t>
      </w:r>
    </w:p>
    <w:p w14:paraId="65ED239B" w14:textId="77777777" w:rsidR="00563A43" w:rsidRPr="004E0406" w:rsidRDefault="00563A43" w:rsidP="00563A43">
      <w:pPr>
        <w:spacing w:before="116"/>
        <w:rPr>
          <w:rFonts w:cs="Arial"/>
          <w:b/>
          <w:szCs w:val="20"/>
        </w:rPr>
      </w:pPr>
      <w:r w:rsidRPr="004E0406">
        <w:rPr>
          <w:rFonts w:cs="Arial"/>
          <w:szCs w:val="20"/>
        </w:rPr>
        <w:t xml:space="preserve">Additions are shown as </w:t>
      </w:r>
      <w:r w:rsidRPr="004E0406">
        <w:rPr>
          <w:rFonts w:cs="Arial"/>
          <w:b/>
          <w:szCs w:val="20"/>
          <w:u w:val="single"/>
        </w:rPr>
        <w:t>thus</w:t>
      </w:r>
      <w:r w:rsidRPr="004E0406">
        <w:rPr>
          <w:rFonts w:cs="Arial"/>
          <w:szCs w:val="20"/>
        </w:rPr>
        <w:t xml:space="preserve">; deletions shown as </w:t>
      </w:r>
      <w:r w:rsidRPr="004E0406">
        <w:rPr>
          <w:rFonts w:cs="Arial"/>
          <w:b/>
          <w:strike/>
          <w:szCs w:val="20"/>
        </w:rPr>
        <w:t>thus</w:t>
      </w:r>
    </w:p>
    <w:p w14:paraId="5127C54A" w14:textId="77777777" w:rsidR="00563A43" w:rsidRPr="004E0406" w:rsidRDefault="00563A43" w:rsidP="004E7131">
      <w:pPr>
        <w:rPr>
          <w:rFonts w:cs="Arial"/>
          <w:szCs w:val="20"/>
        </w:rPr>
      </w:pPr>
    </w:p>
    <w:p w14:paraId="19016C46" w14:textId="7050AD03" w:rsidR="004E7131" w:rsidRPr="004E0406" w:rsidRDefault="004E7131" w:rsidP="004E7131">
      <w:pPr>
        <w:rPr>
          <w:rFonts w:cs="Arial"/>
          <w:szCs w:val="20"/>
        </w:rPr>
      </w:pPr>
      <w:r w:rsidRPr="004E0406">
        <w:rPr>
          <w:rFonts w:cs="Arial"/>
          <w:szCs w:val="20"/>
        </w:rPr>
        <w:t xml:space="preserve">§ 92-55.1. B-1-A Commercial Zone. </w:t>
      </w:r>
    </w:p>
    <w:p w14:paraId="66A36915" w14:textId="77777777" w:rsidR="004E7131" w:rsidRPr="004E0406" w:rsidRDefault="004E7131" w:rsidP="004E7131">
      <w:pPr>
        <w:rPr>
          <w:rFonts w:cs="Arial"/>
          <w:szCs w:val="20"/>
        </w:rPr>
      </w:pPr>
      <w:r w:rsidRPr="004E0406">
        <w:rPr>
          <w:rFonts w:cs="Arial"/>
          <w:szCs w:val="20"/>
        </w:rPr>
        <w:t>The following regulations shall apply in the B-1-A Zone:</w:t>
      </w:r>
    </w:p>
    <w:p w14:paraId="0EFF535A" w14:textId="1DE472AC" w:rsidR="004E7131" w:rsidRPr="004E0406" w:rsidRDefault="004E7131" w:rsidP="004E7131">
      <w:pPr>
        <w:rPr>
          <w:rFonts w:cs="Arial"/>
          <w:szCs w:val="20"/>
        </w:rPr>
      </w:pPr>
      <w:r w:rsidRPr="004E0406">
        <w:rPr>
          <w:rFonts w:cs="Arial"/>
          <w:szCs w:val="20"/>
        </w:rPr>
        <w:t>…</w:t>
      </w:r>
    </w:p>
    <w:p w14:paraId="3034FA4C" w14:textId="2E34AC6F" w:rsidR="004E7131" w:rsidRPr="004E0406" w:rsidRDefault="004E7131" w:rsidP="004E7131">
      <w:pPr>
        <w:pStyle w:val="ListParagraph"/>
        <w:numPr>
          <w:ilvl w:val="0"/>
          <w:numId w:val="4"/>
        </w:numPr>
        <w:contextualSpacing w:val="0"/>
        <w:rPr>
          <w:rFonts w:cs="Arial"/>
          <w:szCs w:val="20"/>
        </w:rPr>
      </w:pPr>
      <w:r w:rsidRPr="004E0406">
        <w:rPr>
          <w:rFonts w:cs="Arial"/>
          <w:szCs w:val="20"/>
        </w:rPr>
        <w:t>Conditional uses. (See § 92-24.)</w:t>
      </w:r>
    </w:p>
    <w:p w14:paraId="7B72F55F" w14:textId="60D3CB9A" w:rsidR="004E7131" w:rsidRPr="004F36FD" w:rsidRDefault="004E7131" w:rsidP="004E7131">
      <w:pPr>
        <w:pStyle w:val="ListParagraph"/>
        <w:numPr>
          <w:ilvl w:val="1"/>
          <w:numId w:val="4"/>
        </w:numPr>
        <w:contextualSpacing w:val="0"/>
        <w:rPr>
          <w:rFonts w:cs="Arial"/>
          <w:szCs w:val="20"/>
        </w:rPr>
      </w:pPr>
      <w:r w:rsidRPr="004F36FD">
        <w:rPr>
          <w:rFonts w:cs="Arial"/>
          <w:szCs w:val="20"/>
        </w:rPr>
        <w:t>Animal hospitals, veterinary offices, kennels and animal day-care centers.</w:t>
      </w:r>
    </w:p>
    <w:p w14:paraId="043C2D75" w14:textId="42610793" w:rsidR="004E7131" w:rsidRPr="004F36FD" w:rsidRDefault="004E7131" w:rsidP="004E7131">
      <w:pPr>
        <w:pStyle w:val="ListParagraph"/>
        <w:numPr>
          <w:ilvl w:val="1"/>
          <w:numId w:val="4"/>
        </w:numPr>
        <w:contextualSpacing w:val="0"/>
        <w:rPr>
          <w:rFonts w:cs="Arial"/>
          <w:szCs w:val="20"/>
        </w:rPr>
      </w:pPr>
      <w:r w:rsidRPr="004F36FD">
        <w:rPr>
          <w:rFonts w:cs="Arial"/>
          <w:szCs w:val="20"/>
        </w:rPr>
        <w:t>Hotels and motels.</w:t>
      </w:r>
    </w:p>
    <w:p w14:paraId="13A8A338" w14:textId="0412003C" w:rsidR="004E7131" w:rsidRPr="004F36FD" w:rsidRDefault="00F1192E" w:rsidP="004E7131">
      <w:pPr>
        <w:pStyle w:val="ListParagraph"/>
        <w:numPr>
          <w:ilvl w:val="1"/>
          <w:numId w:val="4"/>
        </w:numPr>
        <w:contextualSpacing w:val="0"/>
        <w:rPr>
          <w:rFonts w:cs="Arial"/>
          <w:b/>
          <w:bCs/>
          <w:szCs w:val="20"/>
        </w:rPr>
      </w:pPr>
      <w:r w:rsidRPr="004F36FD">
        <w:rPr>
          <w:rFonts w:cs="Arial"/>
          <w:b/>
          <w:bCs/>
          <w:szCs w:val="20"/>
          <w:u w:val="single"/>
        </w:rPr>
        <w:t>D</w:t>
      </w:r>
      <w:r w:rsidR="004E7131" w:rsidRPr="004F36FD">
        <w:rPr>
          <w:rFonts w:cs="Arial"/>
          <w:b/>
          <w:bCs/>
          <w:szCs w:val="20"/>
          <w:u w:val="single"/>
        </w:rPr>
        <w:t>welling units</w:t>
      </w:r>
      <w:r w:rsidR="004F36FD" w:rsidRPr="004F36FD">
        <w:rPr>
          <w:rFonts w:cs="Arial"/>
          <w:b/>
          <w:bCs/>
          <w:szCs w:val="20"/>
          <w:u w:val="single"/>
        </w:rPr>
        <w:t>,</w:t>
      </w:r>
      <w:r w:rsidR="006D54E1" w:rsidRPr="004F36FD">
        <w:rPr>
          <w:rFonts w:cs="Arial"/>
          <w:b/>
          <w:bCs/>
          <w:szCs w:val="20"/>
          <w:u w:val="single"/>
        </w:rPr>
        <w:t xml:space="preserve"> </w:t>
      </w:r>
      <w:r w:rsidRPr="004F36FD">
        <w:rPr>
          <w:rFonts w:cs="Arial"/>
          <w:b/>
          <w:bCs/>
          <w:szCs w:val="20"/>
          <w:u w:val="single"/>
        </w:rPr>
        <w:t>excluding the first story</w:t>
      </w:r>
      <w:r w:rsidR="004E7131" w:rsidRPr="004F36FD">
        <w:rPr>
          <w:rFonts w:cs="Arial"/>
          <w:b/>
          <w:bCs/>
          <w:szCs w:val="20"/>
          <w:u w:val="single"/>
        </w:rPr>
        <w:t>.</w:t>
      </w:r>
      <w:r w:rsidR="004E7131" w:rsidRPr="004F36FD">
        <w:rPr>
          <w:rFonts w:cs="Arial"/>
          <w:b/>
          <w:bCs/>
          <w:szCs w:val="20"/>
        </w:rPr>
        <w:t xml:space="preserve"> </w:t>
      </w:r>
      <w:r w:rsidR="004E7131" w:rsidRPr="004F36FD">
        <w:rPr>
          <w:rFonts w:cs="Arial"/>
          <w:b/>
          <w:bCs/>
          <w:strike/>
          <w:szCs w:val="20"/>
        </w:rPr>
        <w:t>Dwelling units above permitted business uses.</w:t>
      </w:r>
      <w:r w:rsidR="004E7131" w:rsidRPr="004F36FD">
        <w:rPr>
          <w:rFonts w:cs="Arial"/>
          <w:b/>
          <w:bCs/>
          <w:szCs w:val="20"/>
        </w:rPr>
        <w:t xml:space="preserve"> </w:t>
      </w:r>
    </w:p>
    <w:p w14:paraId="478A5A49" w14:textId="3D572467" w:rsidR="004E7131" w:rsidRPr="004E0406" w:rsidRDefault="004E7131" w:rsidP="004E7131">
      <w:pPr>
        <w:pStyle w:val="ListParagraph"/>
        <w:numPr>
          <w:ilvl w:val="2"/>
          <w:numId w:val="4"/>
        </w:numPr>
        <w:contextualSpacing w:val="0"/>
        <w:rPr>
          <w:rFonts w:cs="Arial"/>
          <w:szCs w:val="20"/>
        </w:rPr>
      </w:pPr>
      <w:r w:rsidRPr="004F36FD">
        <w:rPr>
          <w:rFonts w:cs="Arial"/>
          <w:szCs w:val="20"/>
        </w:rPr>
        <w:t>A mandatory affordable housing set-aside standard shall apply for any development</w:t>
      </w:r>
      <w:r w:rsidRPr="004E0406">
        <w:rPr>
          <w:rFonts w:cs="Arial"/>
          <w:szCs w:val="20"/>
        </w:rPr>
        <w:t xml:space="preserve"> consisting of five or more new dwelling units.</w:t>
      </w:r>
    </w:p>
    <w:p w14:paraId="21B66C2D" w14:textId="65255690" w:rsidR="004E7131" w:rsidRPr="004E0406" w:rsidRDefault="004E7131" w:rsidP="004E7131">
      <w:pPr>
        <w:pStyle w:val="ListParagraph"/>
        <w:numPr>
          <w:ilvl w:val="2"/>
          <w:numId w:val="4"/>
        </w:numPr>
        <w:contextualSpacing w:val="0"/>
        <w:rPr>
          <w:rFonts w:cs="Arial"/>
          <w:szCs w:val="20"/>
        </w:rPr>
      </w:pPr>
      <w:r w:rsidRPr="004E0406">
        <w:rPr>
          <w:rFonts w:cs="Arial"/>
          <w:szCs w:val="20"/>
        </w:rPr>
        <w:t xml:space="preserve">The set-aside of affordable units </w:t>
      </w:r>
      <w:r w:rsidRPr="004E0406">
        <w:rPr>
          <w:rFonts w:cs="Arial"/>
          <w:b/>
          <w:bCs/>
          <w:szCs w:val="20"/>
          <w:u w:val="single"/>
        </w:rPr>
        <w:t>shall be 20% for both for sale and rental units.</w:t>
      </w:r>
      <w:r w:rsidRPr="004E0406">
        <w:rPr>
          <w:rFonts w:cs="Arial"/>
          <w:szCs w:val="20"/>
        </w:rPr>
        <w:t xml:space="preserve"> </w:t>
      </w:r>
      <w:r w:rsidRPr="004E0406">
        <w:rPr>
          <w:rFonts w:cs="Arial"/>
          <w:b/>
          <w:bCs/>
          <w:strike/>
          <w:szCs w:val="20"/>
        </w:rPr>
        <w:t xml:space="preserve">which are to be offered for sale shall be 20%. The set-aside of affordable units which are to be offered for rental shall be 15%. </w:t>
      </w:r>
      <w:r w:rsidRPr="004E0406">
        <w:rPr>
          <w:rFonts w:cs="Arial"/>
          <w:szCs w:val="20"/>
        </w:rPr>
        <w:t>For developments where the set-aside results in a decimal, 0.4</w:t>
      </w:r>
      <w:r w:rsidR="00F1192E" w:rsidRPr="00F1192E">
        <w:rPr>
          <w:rFonts w:cs="Arial"/>
          <w:b/>
          <w:bCs/>
          <w:szCs w:val="20"/>
          <w:u w:val="single"/>
        </w:rPr>
        <w:t>9</w:t>
      </w:r>
      <w:r w:rsidR="00F1192E" w:rsidRPr="004E0406">
        <w:rPr>
          <w:rFonts w:cs="Arial"/>
          <w:szCs w:val="20"/>
        </w:rPr>
        <w:t xml:space="preserve"> </w:t>
      </w:r>
      <w:r w:rsidRPr="004E0406">
        <w:rPr>
          <w:rFonts w:cs="Arial"/>
          <w:szCs w:val="20"/>
        </w:rPr>
        <w:t xml:space="preserve"> and below shall be rounded down and 0.5 and above shall be rounded up.</w:t>
      </w:r>
    </w:p>
    <w:p w14:paraId="6E60C307" w14:textId="3844000D" w:rsidR="004E7131" w:rsidRPr="004E0406" w:rsidRDefault="004E7131" w:rsidP="004E7131">
      <w:pPr>
        <w:pStyle w:val="ListParagraph"/>
        <w:numPr>
          <w:ilvl w:val="2"/>
          <w:numId w:val="4"/>
        </w:numPr>
        <w:contextualSpacing w:val="0"/>
        <w:rPr>
          <w:rFonts w:cs="Arial"/>
          <w:szCs w:val="20"/>
        </w:rPr>
      </w:pPr>
      <w:r w:rsidRPr="004E0406">
        <w:rPr>
          <w:rFonts w:cs="Arial"/>
          <w:szCs w:val="20"/>
        </w:rPr>
        <w:t>No payments in lieu of the affordable housing set-aside shall be permitted or collected.</w:t>
      </w:r>
    </w:p>
    <w:p w14:paraId="1126C4BA" w14:textId="3DB62B88" w:rsidR="004E7131" w:rsidRPr="004E0406" w:rsidRDefault="004E7131" w:rsidP="004E7131">
      <w:pPr>
        <w:pStyle w:val="ListParagraph"/>
        <w:numPr>
          <w:ilvl w:val="2"/>
          <w:numId w:val="4"/>
        </w:numPr>
        <w:contextualSpacing w:val="0"/>
        <w:rPr>
          <w:rFonts w:cs="Arial"/>
          <w:szCs w:val="20"/>
        </w:rPr>
      </w:pPr>
      <w:r w:rsidRPr="004E0406">
        <w:rPr>
          <w:rFonts w:cs="Arial"/>
          <w:szCs w:val="20"/>
        </w:rPr>
        <w:t xml:space="preserve">The affordable units shall comply with the Borough's affordable housing regulations in Chapter 12 of the Borough Ordinances. This includes, but is not limited to, affordability controls </w:t>
      </w:r>
      <w:r w:rsidRPr="004E0406">
        <w:rPr>
          <w:rFonts w:cs="Arial"/>
          <w:b/>
          <w:bCs/>
          <w:strike/>
          <w:szCs w:val="20"/>
        </w:rPr>
        <w:t>of not less than 30 years</w:t>
      </w:r>
      <w:r w:rsidRPr="004E0406">
        <w:rPr>
          <w:rFonts w:cs="Arial"/>
          <w:szCs w:val="20"/>
        </w:rPr>
        <w:t>, proper distribution of one-, two- and three-bedroom affordable units, proper distribution of very-low-, low- and moderate-income units, and affirmative marketing.</w:t>
      </w:r>
    </w:p>
    <w:p w14:paraId="1755DDAD" w14:textId="43B6005A" w:rsidR="004E7131" w:rsidRPr="004E0406" w:rsidRDefault="004E7131" w:rsidP="004E7131">
      <w:pPr>
        <w:pStyle w:val="ListParagraph"/>
        <w:numPr>
          <w:ilvl w:val="2"/>
          <w:numId w:val="4"/>
        </w:numPr>
        <w:contextualSpacing w:val="0"/>
        <w:rPr>
          <w:rFonts w:cs="Arial"/>
          <w:szCs w:val="20"/>
        </w:rPr>
      </w:pPr>
      <w:r w:rsidRPr="004E0406">
        <w:rPr>
          <w:rFonts w:cs="Arial"/>
          <w:szCs w:val="20"/>
        </w:rPr>
        <w:t>This standard does not create any entitlement for a property owner or applicant for a zoning amendment, variance, site plan approval, or adoption of a Redevelopment Plan or amended Redevelopment Plan in areas in need of redevelopment or rehabilitation, or for approval of any particular proposed project.</w:t>
      </w:r>
    </w:p>
    <w:p w14:paraId="51269C46" w14:textId="3FC11BE0" w:rsidR="004E7131" w:rsidRPr="004E0406" w:rsidRDefault="004E7131" w:rsidP="004E7131">
      <w:pPr>
        <w:pStyle w:val="ListParagraph"/>
        <w:numPr>
          <w:ilvl w:val="2"/>
          <w:numId w:val="4"/>
        </w:numPr>
        <w:contextualSpacing w:val="0"/>
        <w:rPr>
          <w:rFonts w:cs="Arial"/>
          <w:b/>
          <w:bCs/>
          <w:strike/>
          <w:szCs w:val="20"/>
        </w:rPr>
      </w:pPr>
      <w:r w:rsidRPr="004E0406">
        <w:rPr>
          <w:rFonts w:cs="Arial"/>
          <w:b/>
          <w:bCs/>
          <w:strike/>
          <w:szCs w:val="20"/>
        </w:rPr>
        <w:t>The Borough may seek to continue its substantive certification by way of the Superior Court of the State of NJ or a future administrative agency with jurisdiction over the certification process. In the event such a court or administrative agency approves a plan that deviates from the set-aside provisions of this section, then the order of the court or the administrative agency shall prevail. Ground floor dwelling units shall be exempt from the requirements listed in 92-55.2P</w:t>
      </w:r>
    </w:p>
    <w:p w14:paraId="4CF28486" w14:textId="75E71285" w:rsidR="004E7131" w:rsidRPr="004E0406" w:rsidRDefault="004E7131" w:rsidP="004E7131">
      <w:pPr>
        <w:ind w:left="720"/>
        <w:rPr>
          <w:rFonts w:cs="Arial"/>
          <w:szCs w:val="20"/>
        </w:rPr>
      </w:pPr>
      <w:r w:rsidRPr="004E0406">
        <w:rPr>
          <w:rFonts w:cs="Arial"/>
          <w:szCs w:val="20"/>
        </w:rPr>
        <w:t>…</w:t>
      </w:r>
    </w:p>
    <w:p w14:paraId="03D70A02" w14:textId="77777777" w:rsidR="00D12063" w:rsidRPr="004E0406" w:rsidRDefault="00D12063">
      <w:pPr>
        <w:rPr>
          <w:rFonts w:cs="Arial"/>
          <w:szCs w:val="20"/>
        </w:rPr>
      </w:pPr>
    </w:p>
    <w:p w14:paraId="1B51C1FE" w14:textId="77777777" w:rsidR="00563A43" w:rsidRPr="004E0406" w:rsidRDefault="00563A43" w:rsidP="00563A43">
      <w:pPr>
        <w:rPr>
          <w:rFonts w:cs="Arial"/>
          <w:szCs w:val="20"/>
        </w:rPr>
      </w:pPr>
    </w:p>
    <w:p w14:paraId="2A8BF967" w14:textId="54B9A506" w:rsidR="00563A43" w:rsidRPr="004E0406" w:rsidRDefault="00563A43" w:rsidP="00563A43">
      <w:pPr>
        <w:rPr>
          <w:rFonts w:cs="Arial"/>
          <w:b/>
          <w:i/>
          <w:szCs w:val="20"/>
        </w:rPr>
      </w:pPr>
      <w:r w:rsidRPr="004E0406">
        <w:rPr>
          <w:rFonts w:cs="Arial"/>
          <w:b/>
          <w:i/>
          <w:szCs w:val="20"/>
          <w:u w:val="single"/>
        </w:rPr>
        <w:t>SECTION 4. Amend Section 92-55.2. BCD Bloomingdale Center District Zone as follows:</w:t>
      </w:r>
    </w:p>
    <w:p w14:paraId="56EBACDF" w14:textId="77777777" w:rsidR="00563A43" w:rsidRPr="004E0406" w:rsidRDefault="00563A43" w:rsidP="00563A43">
      <w:pPr>
        <w:spacing w:before="116"/>
        <w:rPr>
          <w:rFonts w:cs="Arial"/>
          <w:b/>
          <w:szCs w:val="20"/>
        </w:rPr>
      </w:pPr>
      <w:r w:rsidRPr="004E0406">
        <w:rPr>
          <w:rFonts w:cs="Arial"/>
          <w:szCs w:val="20"/>
        </w:rPr>
        <w:t xml:space="preserve">Additions are shown as </w:t>
      </w:r>
      <w:r w:rsidRPr="004E0406">
        <w:rPr>
          <w:rFonts w:cs="Arial"/>
          <w:b/>
          <w:szCs w:val="20"/>
          <w:u w:val="single"/>
        </w:rPr>
        <w:t>thus</w:t>
      </w:r>
      <w:r w:rsidRPr="004E0406">
        <w:rPr>
          <w:rFonts w:cs="Arial"/>
          <w:szCs w:val="20"/>
        </w:rPr>
        <w:t xml:space="preserve">; deletions shown as </w:t>
      </w:r>
      <w:r w:rsidRPr="004E0406">
        <w:rPr>
          <w:rFonts w:cs="Arial"/>
          <w:b/>
          <w:strike/>
          <w:szCs w:val="20"/>
        </w:rPr>
        <w:t>thus</w:t>
      </w:r>
    </w:p>
    <w:p w14:paraId="1989B145" w14:textId="77777777" w:rsidR="004E7131" w:rsidRPr="004E0406" w:rsidRDefault="004E7131">
      <w:pPr>
        <w:rPr>
          <w:rFonts w:cs="Arial"/>
          <w:szCs w:val="20"/>
        </w:rPr>
      </w:pPr>
    </w:p>
    <w:p w14:paraId="702F2482" w14:textId="73BC994A" w:rsidR="004E7131" w:rsidRPr="004E0406" w:rsidRDefault="004E7131" w:rsidP="004E7131">
      <w:pPr>
        <w:rPr>
          <w:rFonts w:cs="Arial"/>
          <w:szCs w:val="20"/>
        </w:rPr>
      </w:pPr>
      <w:r w:rsidRPr="004E0406">
        <w:rPr>
          <w:rFonts w:cs="Arial"/>
          <w:szCs w:val="20"/>
        </w:rPr>
        <w:t xml:space="preserve">§ 92-55.2. BCD Bloomingdale Center District Zone (BCD). </w:t>
      </w:r>
    </w:p>
    <w:p w14:paraId="5B988FCD" w14:textId="5FA8BC79" w:rsidR="004E7131" w:rsidRPr="004E0406" w:rsidRDefault="004E7131" w:rsidP="004E7131">
      <w:pPr>
        <w:rPr>
          <w:rFonts w:cs="Arial"/>
          <w:szCs w:val="20"/>
        </w:rPr>
      </w:pPr>
      <w:r w:rsidRPr="004E0406">
        <w:rPr>
          <w:rFonts w:cs="Arial"/>
          <w:szCs w:val="20"/>
        </w:rPr>
        <w:t>The following regulations shall apply in the BCD Zone:</w:t>
      </w:r>
    </w:p>
    <w:p w14:paraId="06D19FFD" w14:textId="77777777" w:rsidR="004E7131" w:rsidRPr="004E0406" w:rsidRDefault="004E7131" w:rsidP="004E7131">
      <w:pPr>
        <w:rPr>
          <w:rFonts w:cs="Arial"/>
          <w:szCs w:val="20"/>
        </w:rPr>
      </w:pPr>
      <w:r w:rsidRPr="004E0406">
        <w:rPr>
          <w:rFonts w:cs="Arial"/>
          <w:szCs w:val="20"/>
        </w:rPr>
        <w:t>…</w:t>
      </w:r>
    </w:p>
    <w:p w14:paraId="61CA8C33" w14:textId="77777777" w:rsidR="004E7131" w:rsidRPr="004E0406" w:rsidRDefault="004E7131" w:rsidP="004E7131">
      <w:pPr>
        <w:pStyle w:val="ListParagraph"/>
        <w:numPr>
          <w:ilvl w:val="0"/>
          <w:numId w:val="5"/>
        </w:numPr>
        <w:contextualSpacing w:val="0"/>
        <w:rPr>
          <w:rFonts w:cs="Arial"/>
          <w:szCs w:val="20"/>
        </w:rPr>
      </w:pPr>
      <w:r w:rsidRPr="004E0406">
        <w:rPr>
          <w:rFonts w:cs="Arial"/>
          <w:szCs w:val="20"/>
        </w:rPr>
        <w:t>Conditional uses to be acted upon by the Planning Board, subject to § 92-24.</w:t>
      </w:r>
    </w:p>
    <w:p w14:paraId="07B0D460" w14:textId="288BB928" w:rsidR="004E7131" w:rsidRPr="004E0406" w:rsidRDefault="004F36FD" w:rsidP="004E7131">
      <w:pPr>
        <w:pStyle w:val="ListParagraph"/>
        <w:numPr>
          <w:ilvl w:val="1"/>
          <w:numId w:val="5"/>
        </w:numPr>
        <w:contextualSpacing w:val="0"/>
        <w:rPr>
          <w:rFonts w:cs="Arial"/>
          <w:b/>
          <w:bCs/>
          <w:szCs w:val="20"/>
        </w:rPr>
      </w:pPr>
      <w:r w:rsidRPr="004F36FD">
        <w:rPr>
          <w:rFonts w:cs="Arial"/>
          <w:b/>
          <w:bCs/>
          <w:szCs w:val="20"/>
          <w:u w:val="single"/>
        </w:rPr>
        <w:t>Dwelling units, excluding the first story.</w:t>
      </w:r>
      <w:r w:rsidRPr="004F36FD">
        <w:rPr>
          <w:rFonts w:cs="Arial"/>
          <w:b/>
          <w:bCs/>
          <w:szCs w:val="20"/>
        </w:rPr>
        <w:t xml:space="preserve"> </w:t>
      </w:r>
      <w:r w:rsidR="004E7131" w:rsidRPr="004E0406">
        <w:rPr>
          <w:rFonts w:cs="Arial"/>
          <w:b/>
          <w:bCs/>
          <w:strike/>
          <w:szCs w:val="20"/>
        </w:rPr>
        <w:t>Dwelling units above permitted business uses.</w:t>
      </w:r>
      <w:r w:rsidR="004E7131" w:rsidRPr="004E0406">
        <w:rPr>
          <w:rFonts w:cs="Arial"/>
          <w:b/>
          <w:bCs/>
          <w:szCs w:val="20"/>
        </w:rPr>
        <w:t xml:space="preserve"> </w:t>
      </w:r>
    </w:p>
    <w:p w14:paraId="25D02AC3" w14:textId="77777777" w:rsidR="004E7131" w:rsidRPr="004E0406" w:rsidRDefault="004E7131" w:rsidP="004E7131">
      <w:pPr>
        <w:pStyle w:val="ListParagraph"/>
        <w:numPr>
          <w:ilvl w:val="2"/>
          <w:numId w:val="5"/>
        </w:numPr>
        <w:contextualSpacing w:val="0"/>
        <w:rPr>
          <w:rFonts w:cs="Arial"/>
          <w:szCs w:val="20"/>
        </w:rPr>
      </w:pPr>
      <w:r w:rsidRPr="004E0406">
        <w:rPr>
          <w:rFonts w:cs="Arial"/>
          <w:szCs w:val="20"/>
        </w:rPr>
        <w:t>A mandatory affordable housing set-aside standard shall apply for any development consisting of five or more new dwelling units.</w:t>
      </w:r>
    </w:p>
    <w:p w14:paraId="3E05440C" w14:textId="02E40A21" w:rsidR="004E7131" w:rsidRPr="004E0406" w:rsidRDefault="004E7131" w:rsidP="004E7131">
      <w:pPr>
        <w:pStyle w:val="ListParagraph"/>
        <w:numPr>
          <w:ilvl w:val="2"/>
          <w:numId w:val="5"/>
        </w:numPr>
        <w:contextualSpacing w:val="0"/>
        <w:rPr>
          <w:rFonts w:cs="Arial"/>
          <w:szCs w:val="20"/>
        </w:rPr>
      </w:pPr>
      <w:r w:rsidRPr="004E0406">
        <w:rPr>
          <w:rFonts w:cs="Arial"/>
          <w:szCs w:val="20"/>
        </w:rPr>
        <w:t xml:space="preserve">The set-aside of affordable units </w:t>
      </w:r>
      <w:r w:rsidRPr="004E0406">
        <w:rPr>
          <w:rFonts w:cs="Arial"/>
          <w:b/>
          <w:bCs/>
          <w:szCs w:val="20"/>
          <w:u w:val="single"/>
        </w:rPr>
        <w:t>shall be 20% for both for sale and rental units.</w:t>
      </w:r>
      <w:r w:rsidRPr="004E0406">
        <w:rPr>
          <w:rFonts w:cs="Arial"/>
          <w:szCs w:val="20"/>
        </w:rPr>
        <w:t xml:space="preserve"> </w:t>
      </w:r>
      <w:r w:rsidRPr="004E0406">
        <w:rPr>
          <w:rFonts w:cs="Arial"/>
          <w:b/>
          <w:bCs/>
          <w:strike/>
          <w:szCs w:val="20"/>
        </w:rPr>
        <w:t xml:space="preserve">which are to be offered for sale shall be 20%. The set-aside of affordable units which are to be offered for rental shall be 15%. </w:t>
      </w:r>
      <w:r w:rsidRPr="004E0406">
        <w:rPr>
          <w:rFonts w:cs="Arial"/>
          <w:szCs w:val="20"/>
        </w:rPr>
        <w:t>For developments where the set-aside results in a decimal, 0.4</w:t>
      </w:r>
      <w:r w:rsidR="00F1192E" w:rsidRPr="00F1192E">
        <w:rPr>
          <w:rFonts w:cs="Arial"/>
          <w:b/>
          <w:bCs/>
          <w:szCs w:val="20"/>
          <w:u w:val="single"/>
        </w:rPr>
        <w:t>9</w:t>
      </w:r>
      <w:r w:rsidRPr="004E0406">
        <w:rPr>
          <w:rFonts w:cs="Arial"/>
          <w:szCs w:val="20"/>
        </w:rPr>
        <w:t xml:space="preserve"> and below shall be rounded down and 0.5 and above shall be rounded up.</w:t>
      </w:r>
    </w:p>
    <w:p w14:paraId="6B104597" w14:textId="77777777" w:rsidR="004E7131" w:rsidRPr="004E0406" w:rsidRDefault="004E7131" w:rsidP="004E7131">
      <w:pPr>
        <w:pStyle w:val="ListParagraph"/>
        <w:numPr>
          <w:ilvl w:val="2"/>
          <w:numId w:val="5"/>
        </w:numPr>
        <w:contextualSpacing w:val="0"/>
        <w:rPr>
          <w:rFonts w:cs="Arial"/>
          <w:szCs w:val="20"/>
        </w:rPr>
      </w:pPr>
      <w:r w:rsidRPr="004E0406">
        <w:rPr>
          <w:rFonts w:cs="Arial"/>
          <w:szCs w:val="20"/>
        </w:rPr>
        <w:t>No payments in lieu of the affordable housing set-aside shall be permitted or collected.</w:t>
      </w:r>
    </w:p>
    <w:p w14:paraId="6A4AABC3" w14:textId="77777777" w:rsidR="004E7131" w:rsidRPr="004E0406" w:rsidRDefault="004E7131" w:rsidP="004E7131">
      <w:pPr>
        <w:pStyle w:val="ListParagraph"/>
        <w:numPr>
          <w:ilvl w:val="2"/>
          <w:numId w:val="5"/>
        </w:numPr>
        <w:contextualSpacing w:val="0"/>
        <w:rPr>
          <w:rFonts w:cs="Arial"/>
          <w:szCs w:val="20"/>
        </w:rPr>
      </w:pPr>
      <w:r w:rsidRPr="004E0406">
        <w:rPr>
          <w:rFonts w:cs="Arial"/>
          <w:szCs w:val="20"/>
        </w:rPr>
        <w:t xml:space="preserve">The affordable units shall comply with the Borough's affordable housing regulations in Chapter 12 of the Borough Ordinances. This includes, but is not limited to, affordability controls </w:t>
      </w:r>
      <w:r w:rsidRPr="004E0406">
        <w:rPr>
          <w:rFonts w:cs="Arial"/>
          <w:b/>
          <w:bCs/>
          <w:strike/>
          <w:szCs w:val="20"/>
        </w:rPr>
        <w:t>of not less than 30 years</w:t>
      </w:r>
      <w:r w:rsidRPr="004E0406">
        <w:rPr>
          <w:rFonts w:cs="Arial"/>
          <w:szCs w:val="20"/>
        </w:rPr>
        <w:t>, proper distribution of one-, two- and three-bedroom affordable units, proper distribution of very-low-, low- and moderate-income units, and affirmative marketing.</w:t>
      </w:r>
    </w:p>
    <w:p w14:paraId="4DAC460F" w14:textId="77777777" w:rsidR="004E7131" w:rsidRPr="004E0406" w:rsidRDefault="004E7131" w:rsidP="004E7131">
      <w:pPr>
        <w:pStyle w:val="ListParagraph"/>
        <w:numPr>
          <w:ilvl w:val="2"/>
          <w:numId w:val="5"/>
        </w:numPr>
        <w:contextualSpacing w:val="0"/>
        <w:rPr>
          <w:rFonts w:cs="Arial"/>
          <w:szCs w:val="20"/>
        </w:rPr>
      </w:pPr>
      <w:r w:rsidRPr="004E0406">
        <w:rPr>
          <w:rFonts w:cs="Arial"/>
          <w:szCs w:val="20"/>
        </w:rPr>
        <w:t>This standard does not create any entitlement for a property owner or applicant for a zoning amendment, variance, site plan approval, or adoption of a Redevelopment Plan or amended Redevelopment Plan in areas in need of redevelopment or rehabilitation, or for approval of any particular proposed project.</w:t>
      </w:r>
    </w:p>
    <w:p w14:paraId="65088EB4" w14:textId="6AA7BB16" w:rsidR="004E7131" w:rsidRPr="004E0406" w:rsidRDefault="004E7131" w:rsidP="004E7131">
      <w:pPr>
        <w:pStyle w:val="ListParagraph"/>
        <w:numPr>
          <w:ilvl w:val="2"/>
          <w:numId w:val="5"/>
        </w:numPr>
        <w:contextualSpacing w:val="0"/>
        <w:rPr>
          <w:rFonts w:cs="Arial"/>
          <w:b/>
          <w:bCs/>
          <w:strike/>
          <w:szCs w:val="20"/>
        </w:rPr>
      </w:pPr>
      <w:r w:rsidRPr="004E0406">
        <w:rPr>
          <w:rFonts w:cs="Arial"/>
          <w:b/>
          <w:bCs/>
          <w:strike/>
          <w:szCs w:val="20"/>
        </w:rPr>
        <w:t>The Borough may seek to continue its substantive certification by way of the Superior Court of the State of NJ or a future administrative agency with jurisdiction over the certification process. In the event such a court or administrative agency approves a plan that deviates from the set-aside provisions of this section, then the order of the court or the administrative agency shall prevail. Ground floor dwelling units shall be exempt from the requirements listed in 92-55.2P</w:t>
      </w:r>
    </w:p>
    <w:p w14:paraId="145786C1" w14:textId="77777777" w:rsidR="004E7131" w:rsidRPr="004E0406" w:rsidRDefault="004E7131" w:rsidP="004E7131">
      <w:pPr>
        <w:ind w:left="720"/>
        <w:rPr>
          <w:rFonts w:cs="Arial"/>
          <w:szCs w:val="20"/>
        </w:rPr>
      </w:pPr>
      <w:r w:rsidRPr="004E0406">
        <w:rPr>
          <w:rFonts w:cs="Arial"/>
          <w:szCs w:val="20"/>
        </w:rPr>
        <w:t>…</w:t>
      </w:r>
    </w:p>
    <w:p w14:paraId="22213D08" w14:textId="77777777" w:rsidR="004E7131" w:rsidRDefault="004E7131">
      <w:pPr>
        <w:rPr>
          <w:rFonts w:cs="Arial"/>
          <w:szCs w:val="20"/>
        </w:rPr>
      </w:pPr>
    </w:p>
    <w:p w14:paraId="6F45C0D7" w14:textId="77777777" w:rsidR="007738C5" w:rsidRDefault="007738C5">
      <w:pPr>
        <w:rPr>
          <w:rFonts w:cs="Arial"/>
          <w:szCs w:val="20"/>
        </w:rPr>
      </w:pPr>
    </w:p>
    <w:p w14:paraId="48D074B2" w14:textId="77777777" w:rsidR="007738C5" w:rsidRDefault="007738C5">
      <w:pPr>
        <w:rPr>
          <w:rFonts w:cs="Arial"/>
          <w:szCs w:val="20"/>
        </w:rPr>
      </w:pPr>
    </w:p>
    <w:p w14:paraId="7133A51D" w14:textId="77777777" w:rsidR="007738C5" w:rsidRDefault="007738C5">
      <w:pPr>
        <w:rPr>
          <w:rFonts w:cs="Arial"/>
          <w:szCs w:val="20"/>
        </w:rPr>
      </w:pPr>
    </w:p>
    <w:p w14:paraId="1F5428F3" w14:textId="77777777" w:rsidR="007738C5" w:rsidRDefault="007738C5">
      <w:pPr>
        <w:rPr>
          <w:rFonts w:cs="Arial"/>
          <w:szCs w:val="20"/>
        </w:rPr>
      </w:pPr>
    </w:p>
    <w:p w14:paraId="58CB1035" w14:textId="77777777" w:rsidR="007738C5" w:rsidRPr="004E0406" w:rsidRDefault="007738C5">
      <w:pPr>
        <w:rPr>
          <w:rFonts w:cs="Arial"/>
          <w:szCs w:val="20"/>
        </w:rPr>
      </w:pPr>
    </w:p>
    <w:p w14:paraId="0D6C901F" w14:textId="1ED94A82" w:rsidR="000B449D" w:rsidRPr="004E0406" w:rsidRDefault="000B449D" w:rsidP="000B449D">
      <w:pPr>
        <w:rPr>
          <w:rFonts w:cs="Arial"/>
          <w:b/>
          <w:i/>
          <w:szCs w:val="20"/>
        </w:rPr>
      </w:pPr>
      <w:r w:rsidRPr="004E0406">
        <w:rPr>
          <w:rFonts w:cs="Arial"/>
          <w:b/>
          <w:i/>
          <w:szCs w:val="20"/>
          <w:u w:val="single"/>
        </w:rPr>
        <w:t>SECTION 5. Amend Section 92-60 as follows:</w:t>
      </w:r>
    </w:p>
    <w:p w14:paraId="18E1A8BD" w14:textId="77777777" w:rsidR="000B449D" w:rsidRPr="004E0406" w:rsidRDefault="000B449D" w:rsidP="000B449D">
      <w:pPr>
        <w:spacing w:before="116"/>
        <w:rPr>
          <w:rFonts w:cs="Arial"/>
          <w:b/>
          <w:szCs w:val="20"/>
        </w:rPr>
      </w:pPr>
      <w:r w:rsidRPr="004E0406">
        <w:rPr>
          <w:rFonts w:cs="Arial"/>
          <w:szCs w:val="20"/>
        </w:rPr>
        <w:t xml:space="preserve">Additions are shown as </w:t>
      </w:r>
      <w:r w:rsidRPr="004E0406">
        <w:rPr>
          <w:rFonts w:cs="Arial"/>
          <w:b/>
          <w:szCs w:val="20"/>
          <w:u w:val="single"/>
        </w:rPr>
        <w:t>thus</w:t>
      </w:r>
      <w:r w:rsidRPr="004E0406">
        <w:rPr>
          <w:rFonts w:cs="Arial"/>
          <w:szCs w:val="20"/>
        </w:rPr>
        <w:t xml:space="preserve">; deletions shown as </w:t>
      </w:r>
      <w:r w:rsidRPr="004E0406">
        <w:rPr>
          <w:rFonts w:cs="Arial"/>
          <w:b/>
          <w:strike/>
          <w:szCs w:val="20"/>
        </w:rPr>
        <w:t>thus</w:t>
      </w:r>
    </w:p>
    <w:p w14:paraId="24132C56" w14:textId="77777777" w:rsidR="000B449D" w:rsidRPr="004E0406" w:rsidRDefault="000B449D" w:rsidP="000B449D">
      <w:pPr>
        <w:rPr>
          <w:rFonts w:cs="Arial"/>
          <w:szCs w:val="20"/>
        </w:rPr>
      </w:pPr>
    </w:p>
    <w:p w14:paraId="0E989246" w14:textId="00A10BC3" w:rsidR="000B449D" w:rsidRPr="004E0406" w:rsidRDefault="000B449D" w:rsidP="000B449D">
      <w:pPr>
        <w:rPr>
          <w:rFonts w:cs="Arial"/>
          <w:szCs w:val="20"/>
        </w:rPr>
      </w:pPr>
      <w:r w:rsidRPr="004E0406">
        <w:rPr>
          <w:rFonts w:cs="Arial"/>
          <w:szCs w:val="20"/>
        </w:rPr>
        <w:t xml:space="preserve">§ 92-60. </w:t>
      </w:r>
      <w:r w:rsidRPr="004E0406">
        <w:rPr>
          <w:rFonts w:cs="Arial"/>
          <w:b/>
          <w:bCs/>
          <w:strike/>
          <w:szCs w:val="20"/>
        </w:rPr>
        <w:t>Reserved.</w:t>
      </w:r>
      <w:r w:rsidRPr="004E0406">
        <w:rPr>
          <w:rFonts w:cs="Arial"/>
          <w:b/>
          <w:bCs/>
          <w:szCs w:val="20"/>
        </w:rPr>
        <w:t xml:space="preserve"> </w:t>
      </w:r>
      <w:r w:rsidRPr="004E0406">
        <w:rPr>
          <w:rFonts w:cs="Arial"/>
          <w:b/>
          <w:bCs/>
          <w:szCs w:val="20"/>
          <w:u w:val="single"/>
        </w:rPr>
        <w:t>Mandatory Affordable Housing Set-aside.</w:t>
      </w:r>
      <w:r w:rsidRPr="004E0406">
        <w:rPr>
          <w:rFonts w:cs="Arial"/>
          <w:b/>
          <w:bCs/>
          <w:szCs w:val="20"/>
        </w:rPr>
        <w:t xml:space="preserve">  </w:t>
      </w:r>
    </w:p>
    <w:p w14:paraId="6B64BE07" w14:textId="65861D77" w:rsidR="000B449D" w:rsidRPr="004E0406" w:rsidRDefault="000B449D" w:rsidP="000B449D">
      <w:pPr>
        <w:pStyle w:val="ListParagraph"/>
        <w:numPr>
          <w:ilvl w:val="0"/>
          <w:numId w:val="6"/>
        </w:numPr>
        <w:contextualSpacing w:val="0"/>
        <w:rPr>
          <w:rFonts w:cs="Arial"/>
          <w:b/>
          <w:bCs/>
          <w:szCs w:val="20"/>
          <w:u w:val="single"/>
        </w:rPr>
      </w:pPr>
      <w:r w:rsidRPr="004E0406">
        <w:rPr>
          <w:rFonts w:cs="Arial"/>
          <w:b/>
          <w:bCs/>
          <w:szCs w:val="20"/>
          <w:u w:val="single"/>
        </w:rPr>
        <w:t>A development, other than single-family detached, providing a minimum of five new housing units created through any municipal rezoning or Zoning Board action, use or density variance, redevelopment plan, or rehabilitation plan that provides for densities at or above six units per acre, is required to include an affordable housing set-aside of 20%.</w:t>
      </w:r>
      <w:r w:rsidR="00F1192E">
        <w:rPr>
          <w:rFonts w:cs="Arial"/>
          <w:b/>
          <w:bCs/>
          <w:szCs w:val="20"/>
          <w:u w:val="single"/>
        </w:rPr>
        <w:t xml:space="preserve"> </w:t>
      </w:r>
      <w:r w:rsidR="00F1192E" w:rsidRPr="00F1192E">
        <w:rPr>
          <w:rFonts w:cs="Arial"/>
          <w:b/>
          <w:bCs/>
          <w:szCs w:val="20"/>
          <w:u w:val="single"/>
        </w:rPr>
        <w:t>For developments where the set-aside results in a decimal, 0.4</w:t>
      </w:r>
      <w:r w:rsidR="00F1192E">
        <w:rPr>
          <w:rFonts w:cs="Arial"/>
          <w:b/>
          <w:bCs/>
          <w:szCs w:val="20"/>
          <w:u w:val="single"/>
        </w:rPr>
        <w:t>9</w:t>
      </w:r>
      <w:r w:rsidR="00F1192E" w:rsidRPr="00F1192E">
        <w:rPr>
          <w:rFonts w:cs="Arial"/>
          <w:b/>
          <w:bCs/>
          <w:szCs w:val="20"/>
          <w:u w:val="single"/>
        </w:rPr>
        <w:t xml:space="preserve"> and below shall be rounded down and 0.5 and above shall be rounded up.</w:t>
      </w:r>
    </w:p>
    <w:p w14:paraId="103E8C6B" w14:textId="44874FE7" w:rsidR="00310DE0" w:rsidRDefault="00310DE0" w:rsidP="000B449D">
      <w:pPr>
        <w:pStyle w:val="ListParagraph"/>
        <w:numPr>
          <w:ilvl w:val="0"/>
          <w:numId w:val="6"/>
        </w:numPr>
        <w:contextualSpacing w:val="0"/>
        <w:rPr>
          <w:rFonts w:cs="Arial"/>
          <w:b/>
          <w:bCs/>
          <w:szCs w:val="20"/>
          <w:u w:val="single"/>
        </w:rPr>
      </w:pPr>
      <w:r w:rsidRPr="00310DE0">
        <w:rPr>
          <w:rFonts w:cs="Arial"/>
          <w:b/>
          <w:bCs/>
          <w:szCs w:val="20"/>
          <w:u w:val="single"/>
        </w:rPr>
        <w:t>This requirement does not apply to any sites or specific zones otherwise identified in the Fair Share Plan, for which density and set-aside standards shall be governed by the specific standards set forth therein.</w:t>
      </w:r>
    </w:p>
    <w:p w14:paraId="12DB0E7A" w14:textId="684DEB08" w:rsidR="000B449D" w:rsidRPr="004E0406" w:rsidRDefault="000B449D" w:rsidP="000B449D">
      <w:pPr>
        <w:pStyle w:val="ListParagraph"/>
        <w:numPr>
          <w:ilvl w:val="0"/>
          <w:numId w:val="6"/>
        </w:numPr>
        <w:contextualSpacing w:val="0"/>
        <w:rPr>
          <w:rFonts w:cs="Arial"/>
          <w:b/>
          <w:bCs/>
          <w:szCs w:val="20"/>
          <w:u w:val="single"/>
        </w:rPr>
      </w:pPr>
      <w:r w:rsidRPr="004E0406">
        <w:rPr>
          <w:rFonts w:cs="Arial"/>
          <w:b/>
          <w:bCs/>
          <w:szCs w:val="20"/>
          <w:u w:val="single"/>
        </w:rPr>
        <w:t>Any affordable units generated through such mandatory set-aside shall be subject to all other provisions of this ordinance.</w:t>
      </w:r>
    </w:p>
    <w:p w14:paraId="78C7226D" w14:textId="281C26C6" w:rsidR="000B449D" w:rsidRPr="004E0406" w:rsidRDefault="000B449D" w:rsidP="000B449D">
      <w:pPr>
        <w:pStyle w:val="ListParagraph"/>
        <w:numPr>
          <w:ilvl w:val="0"/>
          <w:numId w:val="6"/>
        </w:numPr>
        <w:contextualSpacing w:val="0"/>
        <w:rPr>
          <w:rFonts w:cs="Arial"/>
          <w:b/>
          <w:bCs/>
          <w:szCs w:val="20"/>
          <w:u w:val="single"/>
        </w:rPr>
      </w:pPr>
      <w:r w:rsidRPr="004E0406">
        <w:rPr>
          <w:rFonts w:cs="Arial"/>
          <w:b/>
          <w:bCs/>
          <w:szCs w:val="20"/>
          <w:u w:val="single"/>
        </w:rPr>
        <w:t>All such affordable units shall be governed by the Borough’s affordable housing regulations, including but not limited to controls on affordability, bedroom distribution, and affirmatively marketed to the housing region in conformance with UHAC at N.J.A.C. 5:80-26.1 et seq., any successor regulation, and all other applicable laws.</w:t>
      </w:r>
    </w:p>
    <w:p w14:paraId="0A80B413" w14:textId="77777777" w:rsidR="000B449D" w:rsidRPr="004E0406" w:rsidRDefault="000B449D" w:rsidP="000B449D">
      <w:pPr>
        <w:pStyle w:val="ListParagraph"/>
        <w:numPr>
          <w:ilvl w:val="0"/>
          <w:numId w:val="6"/>
        </w:numPr>
        <w:contextualSpacing w:val="0"/>
        <w:rPr>
          <w:rFonts w:cs="Arial"/>
          <w:b/>
          <w:bCs/>
          <w:szCs w:val="20"/>
          <w:u w:val="single"/>
        </w:rPr>
      </w:pPr>
      <w:r w:rsidRPr="004E0406">
        <w:rPr>
          <w:rFonts w:cs="Arial"/>
          <w:b/>
          <w:bCs/>
          <w:szCs w:val="20"/>
          <w:u w:val="single"/>
        </w:rPr>
        <w:t>No subdivision shall be permitted or approved for the purpose of avoiding compliance with this requirement. Developers cannot, for example, subdivide a project into two lots and then make each of them a number of units just below the threshold.</w:t>
      </w:r>
    </w:p>
    <w:p w14:paraId="0688F5C7" w14:textId="77777777" w:rsidR="000B449D" w:rsidRPr="004E0406" w:rsidRDefault="000B449D" w:rsidP="000B449D">
      <w:pPr>
        <w:pStyle w:val="ListParagraph"/>
        <w:numPr>
          <w:ilvl w:val="0"/>
          <w:numId w:val="6"/>
        </w:numPr>
        <w:contextualSpacing w:val="0"/>
        <w:rPr>
          <w:rFonts w:cs="Arial"/>
          <w:b/>
          <w:bCs/>
          <w:szCs w:val="20"/>
          <w:u w:val="single"/>
        </w:rPr>
      </w:pPr>
      <w:r w:rsidRPr="004E0406">
        <w:rPr>
          <w:rFonts w:cs="Arial"/>
          <w:b/>
          <w:bCs/>
          <w:szCs w:val="20"/>
          <w:u w:val="single"/>
        </w:rPr>
        <w:t>The mandatory set-aside requirements of this section do not give any developer the right to any rezoning, variance or other relief, or establish any obligation on the part of the municipality to grant such rezoning, variance or other relief.</w:t>
      </w:r>
    </w:p>
    <w:p w14:paraId="10F9F9E6" w14:textId="77777777" w:rsidR="000B449D" w:rsidRPr="004E0406" w:rsidRDefault="000B449D" w:rsidP="000B449D">
      <w:pPr>
        <w:pStyle w:val="ListParagraph"/>
        <w:numPr>
          <w:ilvl w:val="0"/>
          <w:numId w:val="6"/>
        </w:numPr>
        <w:contextualSpacing w:val="0"/>
        <w:rPr>
          <w:rFonts w:cs="Arial"/>
          <w:b/>
          <w:bCs/>
          <w:szCs w:val="20"/>
          <w:u w:val="single"/>
        </w:rPr>
      </w:pPr>
      <w:r w:rsidRPr="004E0406">
        <w:rPr>
          <w:rFonts w:cs="Arial"/>
          <w:b/>
          <w:bCs/>
          <w:szCs w:val="20"/>
          <w:u w:val="single"/>
        </w:rPr>
        <w:t xml:space="preserve">This municipality-wide mandatory set-aside requirement does not apply to any sites or specific zones otherwise identified in the HEFSP, for which density and set-aside requirements shall be governed by the specific standards as set forth therein. </w:t>
      </w:r>
    </w:p>
    <w:p w14:paraId="483752B4" w14:textId="04FD4E20" w:rsidR="000B449D" w:rsidRPr="004E0406" w:rsidRDefault="000B449D" w:rsidP="000B449D">
      <w:pPr>
        <w:pStyle w:val="ListParagraph"/>
        <w:numPr>
          <w:ilvl w:val="0"/>
          <w:numId w:val="6"/>
        </w:numPr>
        <w:contextualSpacing w:val="0"/>
        <w:rPr>
          <w:rFonts w:cs="Arial"/>
          <w:b/>
          <w:bCs/>
          <w:szCs w:val="20"/>
          <w:u w:val="single"/>
        </w:rPr>
      </w:pPr>
      <w:r w:rsidRPr="004E0406">
        <w:rPr>
          <w:rFonts w:cs="Arial"/>
          <w:b/>
          <w:bCs/>
          <w:szCs w:val="20"/>
          <w:u w:val="single"/>
        </w:rPr>
        <w:t>For developments where the set-aside results in a decimal, 0.4</w:t>
      </w:r>
      <w:r w:rsidR="00F53C44">
        <w:rPr>
          <w:rFonts w:cs="Arial"/>
          <w:b/>
          <w:bCs/>
          <w:szCs w:val="20"/>
          <w:u w:val="single"/>
        </w:rPr>
        <w:t>9</w:t>
      </w:r>
      <w:r w:rsidRPr="004E0406">
        <w:rPr>
          <w:rFonts w:cs="Arial"/>
          <w:b/>
          <w:bCs/>
          <w:szCs w:val="20"/>
          <w:u w:val="single"/>
        </w:rPr>
        <w:t xml:space="preserve"> and below shall be rounded down and 0.5 and above shall be rounded up.</w:t>
      </w:r>
    </w:p>
    <w:sectPr w:rsidR="000B449D" w:rsidRPr="004E040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EF6B" w14:textId="77777777" w:rsidR="00396CAD" w:rsidRDefault="00396CAD" w:rsidP="007F054B">
      <w:pPr>
        <w:spacing w:before="0" w:after="0"/>
      </w:pPr>
      <w:r>
        <w:separator/>
      </w:r>
    </w:p>
  </w:endnote>
  <w:endnote w:type="continuationSeparator" w:id="0">
    <w:p w14:paraId="37B1C65B" w14:textId="77777777" w:rsidR="00396CAD" w:rsidRDefault="00396CAD" w:rsidP="007F05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982F" w14:textId="77777777" w:rsidR="00396CAD" w:rsidRDefault="00396CAD" w:rsidP="007F054B">
      <w:pPr>
        <w:spacing w:before="0" w:after="0"/>
      </w:pPr>
      <w:r>
        <w:separator/>
      </w:r>
    </w:p>
  </w:footnote>
  <w:footnote w:type="continuationSeparator" w:id="0">
    <w:p w14:paraId="1331E61C" w14:textId="77777777" w:rsidR="00396CAD" w:rsidRDefault="00396CAD" w:rsidP="007F054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7E4F" w14:textId="465E0873" w:rsidR="007F054B" w:rsidRPr="007F054B" w:rsidRDefault="007F054B" w:rsidP="007F054B">
    <w:pPr>
      <w:tabs>
        <w:tab w:val="center" w:pos="4680"/>
        <w:tab w:val="right" w:pos="9360"/>
      </w:tabs>
      <w:spacing w:before="0" w:after="0"/>
      <w:jc w:val="right"/>
      <w:rPr>
        <w:rFonts w:ascii="Times New Roman" w:eastAsia="Aptos" w:hAnsi="Times New Roman" w:cs="Times New Roman"/>
        <w:kern w:val="2"/>
        <w:sz w:val="24"/>
      </w:rPr>
    </w:pPr>
    <w:r w:rsidRPr="007F054B">
      <w:rPr>
        <w:rFonts w:ascii="Times New Roman" w:eastAsia="Aptos" w:hAnsi="Times New Roman" w:cs="Times New Roman"/>
        <w:kern w:val="2"/>
        <w:sz w:val="24"/>
      </w:rPr>
      <w:t xml:space="preserve">Ordinance No. </w:t>
    </w:r>
    <w:r>
      <w:rPr>
        <w:rFonts w:ascii="Times New Roman" w:eastAsia="Aptos" w:hAnsi="Times New Roman" w:cs="Times New Roman"/>
        <w:kern w:val="2"/>
        <w:sz w:val="24"/>
      </w:rPr>
      <w:t>5</w:t>
    </w:r>
    <w:r w:rsidRPr="007F054B">
      <w:rPr>
        <w:rFonts w:ascii="Times New Roman" w:eastAsia="Aptos" w:hAnsi="Times New Roman" w:cs="Times New Roman"/>
        <w:kern w:val="2"/>
        <w:sz w:val="24"/>
      </w:rPr>
      <w:t>-2026</w:t>
    </w:r>
    <w:r w:rsidRPr="007F054B">
      <w:rPr>
        <w:rFonts w:ascii="Times New Roman" w:eastAsia="Aptos" w:hAnsi="Times New Roman" w:cs="Times New Roman"/>
        <w:kern w:val="2"/>
        <w:sz w:val="24"/>
      </w:rPr>
      <w:br/>
      <w:t>Introduced: February 17, 2026</w:t>
    </w:r>
  </w:p>
  <w:p w14:paraId="6B8A7A95" w14:textId="77777777" w:rsidR="007F054B" w:rsidRPr="007F054B" w:rsidRDefault="007F054B" w:rsidP="007F054B">
    <w:pPr>
      <w:tabs>
        <w:tab w:val="center" w:pos="4680"/>
        <w:tab w:val="right" w:pos="9360"/>
      </w:tabs>
      <w:spacing w:before="0" w:after="0"/>
      <w:jc w:val="right"/>
      <w:rPr>
        <w:rFonts w:ascii="Courier New" w:eastAsia="Times New Roman" w:hAnsi="Courier New" w:cs="Times New Roman"/>
        <w:sz w:val="24"/>
        <w:szCs w:val="24"/>
      </w:rPr>
    </w:pPr>
    <w:r w:rsidRPr="007F054B">
      <w:rPr>
        <w:rFonts w:ascii="Times New Roman" w:eastAsia="Aptos" w:hAnsi="Times New Roman" w:cs="Times New Roman"/>
        <w:kern w:val="2"/>
        <w:sz w:val="24"/>
      </w:rPr>
      <w:t>Adoption: March - 2026</w:t>
    </w:r>
  </w:p>
  <w:p w14:paraId="21C8932C" w14:textId="77777777" w:rsidR="007F054B" w:rsidRDefault="007F0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07C7"/>
    <w:multiLevelType w:val="multilevel"/>
    <w:tmpl w:val="C1C2AA1A"/>
    <w:lvl w:ilvl="0">
      <w:start w:val="3"/>
      <w:numFmt w:val="upperLetter"/>
      <w:lvlText w:val="%1."/>
      <w:lvlJc w:val="left"/>
      <w:pPr>
        <w:ind w:left="720" w:hanging="720"/>
      </w:pPr>
      <w:rPr>
        <w:rFonts w:hint="default"/>
      </w:rPr>
    </w:lvl>
    <w:lvl w:ilvl="1">
      <w:start w:val="7"/>
      <w:numFmt w:val="decimal"/>
      <w:lvlText w:val="%2."/>
      <w:lvlJc w:val="left"/>
      <w:pPr>
        <w:ind w:left="1440" w:hanging="720"/>
      </w:pPr>
      <w:rPr>
        <w:rFonts w:hint="default"/>
      </w:rPr>
    </w:lvl>
    <w:lvl w:ilvl="2">
      <w:start w:val="1"/>
      <w:numFmt w:val="lowerLetter"/>
      <w:lvlText w:val="(%3)"/>
      <w:lvlJc w:val="left"/>
      <w:pPr>
        <w:ind w:left="2160" w:hanging="720"/>
      </w:pPr>
      <w:rPr>
        <w:rFonts w:hint="default"/>
        <w:strike w:val="0"/>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26E0E1C"/>
    <w:multiLevelType w:val="multilevel"/>
    <w:tmpl w:val="C1C2AA1A"/>
    <w:lvl w:ilvl="0">
      <w:start w:val="3"/>
      <w:numFmt w:val="upperLetter"/>
      <w:lvlText w:val="%1."/>
      <w:lvlJc w:val="left"/>
      <w:pPr>
        <w:ind w:left="720" w:hanging="720"/>
      </w:pPr>
      <w:rPr>
        <w:rFonts w:hint="default"/>
      </w:rPr>
    </w:lvl>
    <w:lvl w:ilvl="1">
      <w:start w:val="7"/>
      <w:numFmt w:val="decimal"/>
      <w:lvlText w:val="%2."/>
      <w:lvlJc w:val="left"/>
      <w:pPr>
        <w:ind w:left="1440" w:hanging="720"/>
      </w:pPr>
      <w:rPr>
        <w:rFonts w:hint="default"/>
      </w:rPr>
    </w:lvl>
    <w:lvl w:ilvl="2">
      <w:start w:val="1"/>
      <w:numFmt w:val="lowerLetter"/>
      <w:lvlText w:val="(%3)"/>
      <w:lvlJc w:val="left"/>
      <w:pPr>
        <w:ind w:left="2160" w:hanging="720"/>
      </w:pPr>
      <w:rPr>
        <w:rFonts w:hint="default"/>
        <w:strike w:val="0"/>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F95"/>
    <w:multiLevelType w:val="hybridMultilevel"/>
    <w:tmpl w:val="E7485858"/>
    <w:lvl w:ilvl="0" w:tplc="AB08ED86">
      <w:start w:val="1"/>
      <w:numFmt w:val="upperLetter"/>
      <w:lvlText w:val="%1."/>
      <w:lvlJc w:val="left"/>
      <w:pPr>
        <w:ind w:left="1080" w:hanging="720"/>
      </w:pPr>
      <w:rPr>
        <w:rFonts w:hint="default"/>
      </w:rPr>
    </w:lvl>
    <w:lvl w:ilvl="1" w:tplc="AF7CD5A0">
      <w:start w:val="1"/>
      <w:numFmt w:val="decimal"/>
      <w:lvlText w:val="(%2)"/>
      <w:lvlJc w:val="left"/>
      <w:pPr>
        <w:ind w:left="1800" w:hanging="720"/>
      </w:pPr>
      <w:rPr>
        <w:rFonts w:hint="default"/>
      </w:rPr>
    </w:lvl>
    <w:lvl w:ilvl="2" w:tplc="C472C1A8">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35C2E"/>
    <w:multiLevelType w:val="hybridMultilevel"/>
    <w:tmpl w:val="2A267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EF2"/>
    <w:multiLevelType w:val="multilevel"/>
    <w:tmpl w:val="C1C2AA1A"/>
    <w:lvl w:ilvl="0">
      <w:start w:val="3"/>
      <w:numFmt w:val="upperLetter"/>
      <w:lvlText w:val="%1."/>
      <w:lvlJc w:val="left"/>
      <w:pPr>
        <w:ind w:left="720" w:hanging="720"/>
      </w:pPr>
      <w:rPr>
        <w:rFonts w:hint="default"/>
      </w:rPr>
    </w:lvl>
    <w:lvl w:ilvl="1">
      <w:start w:val="7"/>
      <w:numFmt w:val="decimal"/>
      <w:lvlText w:val="%2."/>
      <w:lvlJc w:val="left"/>
      <w:pPr>
        <w:ind w:left="1440" w:hanging="720"/>
      </w:pPr>
      <w:rPr>
        <w:rFonts w:hint="default"/>
      </w:rPr>
    </w:lvl>
    <w:lvl w:ilvl="2">
      <w:start w:val="1"/>
      <w:numFmt w:val="lowerLetter"/>
      <w:lvlText w:val="(%3)"/>
      <w:lvlJc w:val="left"/>
      <w:pPr>
        <w:ind w:left="2160" w:hanging="720"/>
      </w:pPr>
      <w:rPr>
        <w:rFonts w:hint="default"/>
        <w:strike w:val="0"/>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C7632EE"/>
    <w:multiLevelType w:val="hybridMultilevel"/>
    <w:tmpl w:val="F108677E"/>
    <w:lvl w:ilvl="0" w:tplc="A998C466">
      <w:start w:val="1"/>
      <w:numFmt w:val="decimal"/>
      <w:lvlText w:val="(%1)"/>
      <w:lvlJc w:val="left"/>
      <w:pPr>
        <w:ind w:left="1080" w:hanging="720"/>
      </w:pPr>
      <w:rPr>
        <w:rFonts w:hint="default"/>
      </w:rPr>
    </w:lvl>
    <w:lvl w:ilvl="1" w:tplc="4B5439D6">
      <w:start w:val="1"/>
      <w:numFmt w:val="lowerLetter"/>
      <w:lvlText w:val="(%2)"/>
      <w:lvlJc w:val="left"/>
      <w:pPr>
        <w:ind w:left="1800" w:hanging="720"/>
      </w:pPr>
      <w:rPr>
        <w:rFonts w:hint="default"/>
      </w:rPr>
    </w:lvl>
    <w:lvl w:ilvl="2" w:tplc="AEFEEAA4">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849356">
    <w:abstractNumId w:val="0"/>
  </w:num>
  <w:num w:numId="2" w16cid:durableId="1326318920">
    <w:abstractNumId w:val="2"/>
  </w:num>
  <w:num w:numId="3" w16cid:durableId="1979451984">
    <w:abstractNumId w:val="5"/>
  </w:num>
  <w:num w:numId="4" w16cid:durableId="1763648281">
    <w:abstractNumId w:val="4"/>
  </w:num>
  <w:num w:numId="5" w16cid:durableId="149105939">
    <w:abstractNumId w:val="1"/>
  </w:num>
  <w:num w:numId="6" w16cid:durableId="40121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31"/>
    <w:rsid w:val="00042E15"/>
    <w:rsid w:val="000878CA"/>
    <w:rsid w:val="000A609B"/>
    <w:rsid w:val="000B449D"/>
    <w:rsid w:val="000E3CCA"/>
    <w:rsid w:val="001B54CF"/>
    <w:rsid w:val="00310DE0"/>
    <w:rsid w:val="00351FD7"/>
    <w:rsid w:val="00396CAD"/>
    <w:rsid w:val="003D3D33"/>
    <w:rsid w:val="0048098D"/>
    <w:rsid w:val="004E0406"/>
    <w:rsid w:val="004E7131"/>
    <w:rsid w:val="004F36FD"/>
    <w:rsid w:val="00563A43"/>
    <w:rsid w:val="00632E8C"/>
    <w:rsid w:val="006D54E1"/>
    <w:rsid w:val="007738C5"/>
    <w:rsid w:val="007F054B"/>
    <w:rsid w:val="00911C16"/>
    <w:rsid w:val="00A7570E"/>
    <w:rsid w:val="00B055B6"/>
    <w:rsid w:val="00D03A76"/>
    <w:rsid w:val="00D03EFA"/>
    <w:rsid w:val="00D12063"/>
    <w:rsid w:val="00D66565"/>
    <w:rsid w:val="00DA6526"/>
    <w:rsid w:val="00DC0F75"/>
    <w:rsid w:val="00EE7717"/>
    <w:rsid w:val="00F1192E"/>
    <w:rsid w:val="00F5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BD23"/>
  <w15:chartTrackingRefBased/>
  <w15:docId w15:val="{470BA037-5CFB-9A4F-B373-AE1BB31E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Headings CS)"/>
        <w:color w:val="000000" w:themeColor="text1"/>
        <w:kern w:val="2"/>
        <w:sz w:val="22"/>
        <w:szCs w:val="40"/>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15"/>
    <w:pPr>
      <w:spacing w:before="120" w:after="120" w:line="240" w:lineRule="auto"/>
      <w:jc w:val="both"/>
    </w:pPr>
    <w:rPr>
      <w:rFonts w:cstheme="minorBidi"/>
      <w:color w:val="auto"/>
      <w:kern w:val="0"/>
      <w:sz w:val="20"/>
      <w:szCs w:val="22"/>
      <w14:ligatures w14:val="none"/>
    </w:rPr>
  </w:style>
  <w:style w:type="paragraph" w:styleId="Heading1">
    <w:name w:val="heading 1"/>
    <w:basedOn w:val="Normal"/>
    <w:next w:val="Normal"/>
    <w:link w:val="Heading1Char"/>
    <w:uiPriority w:val="9"/>
    <w:qFormat/>
    <w:rsid w:val="004E7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1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1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71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71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71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713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713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131"/>
    <w:rPr>
      <w:rFonts w:asciiTheme="majorHAnsi" w:eastAsiaTheme="majorEastAsia" w:hAnsiTheme="majorHAnsi" w:cstheme="majorBidi"/>
      <w:color w:val="0F4761" w:themeColor="accent1" w:themeShade="BF"/>
      <w:kern w:val="0"/>
      <w:sz w:val="40"/>
      <w14:ligatures w14:val="none"/>
    </w:rPr>
  </w:style>
  <w:style w:type="character" w:customStyle="1" w:styleId="Heading2Char">
    <w:name w:val="Heading 2 Char"/>
    <w:basedOn w:val="DefaultParagraphFont"/>
    <w:link w:val="Heading2"/>
    <w:uiPriority w:val="9"/>
    <w:semiHidden/>
    <w:rsid w:val="004E713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4E7131"/>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E7131"/>
    <w:rPr>
      <w:rFonts w:asciiTheme="minorHAnsi" w:eastAsiaTheme="majorEastAsia" w:hAnsiTheme="minorHAnsi" w:cstheme="majorBidi"/>
      <w:i/>
      <w:iCs/>
      <w:color w:val="0F4761" w:themeColor="accent1" w:themeShade="BF"/>
      <w:kern w:val="0"/>
      <w:sz w:val="20"/>
      <w:szCs w:val="22"/>
      <w14:ligatures w14:val="none"/>
    </w:rPr>
  </w:style>
  <w:style w:type="character" w:customStyle="1" w:styleId="Heading5Char">
    <w:name w:val="Heading 5 Char"/>
    <w:basedOn w:val="DefaultParagraphFont"/>
    <w:link w:val="Heading5"/>
    <w:uiPriority w:val="9"/>
    <w:semiHidden/>
    <w:rsid w:val="004E7131"/>
    <w:rPr>
      <w:rFonts w:asciiTheme="minorHAnsi" w:eastAsiaTheme="majorEastAsia" w:hAnsiTheme="minorHAnsi" w:cstheme="majorBidi"/>
      <w:color w:val="0F4761" w:themeColor="accent1" w:themeShade="BF"/>
      <w:kern w:val="0"/>
      <w:sz w:val="20"/>
      <w:szCs w:val="22"/>
      <w14:ligatures w14:val="none"/>
    </w:rPr>
  </w:style>
  <w:style w:type="character" w:customStyle="1" w:styleId="Heading6Char">
    <w:name w:val="Heading 6 Char"/>
    <w:basedOn w:val="DefaultParagraphFont"/>
    <w:link w:val="Heading6"/>
    <w:uiPriority w:val="9"/>
    <w:semiHidden/>
    <w:rsid w:val="004E7131"/>
    <w:rPr>
      <w:rFonts w:asciiTheme="minorHAnsi" w:eastAsiaTheme="majorEastAsia" w:hAnsiTheme="minorHAnsi" w:cstheme="majorBidi"/>
      <w:i/>
      <w:iCs/>
      <w:color w:val="595959" w:themeColor="text1" w:themeTint="A6"/>
      <w:kern w:val="0"/>
      <w:sz w:val="20"/>
      <w:szCs w:val="22"/>
      <w14:ligatures w14:val="none"/>
    </w:rPr>
  </w:style>
  <w:style w:type="character" w:customStyle="1" w:styleId="Heading7Char">
    <w:name w:val="Heading 7 Char"/>
    <w:basedOn w:val="DefaultParagraphFont"/>
    <w:link w:val="Heading7"/>
    <w:uiPriority w:val="9"/>
    <w:semiHidden/>
    <w:rsid w:val="004E7131"/>
    <w:rPr>
      <w:rFonts w:asciiTheme="minorHAnsi" w:eastAsiaTheme="majorEastAsia" w:hAnsiTheme="minorHAnsi" w:cstheme="majorBidi"/>
      <w:color w:val="595959" w:themeColor="text1" w:themeTint="A6"/>
      <w:kern w:val="0"/>
      <w:sz w:val="20"/>
      <w:szCs w:val="22"/>
      <w14:ligatures w14:val="none"/>
    </w:rPr>
  </w:style>
  <w:style w:type="character" w:customStyle="1" w:styleId="Heading8Char">
    <w:name w:val="Heading 8 Char"/>
    <w:basedOn w:val="DefaultParagraphFont"/>
    <w:link w:val="Heading8"/>
    <w:uiPriority w:val="9"/>
    <w:semiHidden/>
    <w:rsid w:val="004E7131"/>
    <w:rPr>
      <w:rFonts w:asciiTheme="minorHAnsi" w:eastAsiaTheme="majorEastAsia" w:hAnsiTheme="minorHAnsi" w:cstheme="majorBidi"/>
      <w:i/>
      <w:iCs/>
      <w:color w:val="272727" w:themeColor="text1" w:themeTint="D8"/>
      <w:kern w:val="0"/>
      <w:sz w:val="20"/>
      <w:szCs w:val="22"/>
      <w14:ligatures w14:val="none"/>
    </w:rPr>
  </w:style>
  <w:style w:type="character" w:customStyle="1" w:styleId="Heading9Char">
    <w:name w:val="Heading 9 Char"/>
    <w:basedOn w:val="DefaultParagraphFont"/>
    <w:link w:val="Heading9"/>
    <w:uiPriority w:val="9"/>
    <w:semiHidden/>
    <w:rsid w:val="004E7131"/>
    <w:rPr>
      <w:rFonts w:asciiTheme="minorHAnsi" w:eastAsiaTheme="majorEastAsia" w:hAnsiTheme="minorHAnsi" w:cstheme="majorBidi"/>
      <w:color w:val="272727" w:themeColor="text1" w:themeTint="D8"/>
      <w:kern w:val="0"/>
      <w:sz w:val="20"/>
      <w:szCs w:val="22"/>
      <w14:ligatures w14:val="none"/>
    </w:rPr>
  </w:style>
  <w:style w:type="paragraph" w:styleId="Title">
    <w:name w:val="Title"/>
    <w:basedOn w:val="Normal"/>
    <w:next w:val="Normal"/>
    <w:link w:val="TitleChar"/>
    <w:uiPriority w:val="10"/>
    <w:qFormat/>
    <w:rsid w:val="004E713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131"/>
    <w:rPr>
      <w:rFonts w:asciiTheme="majorHAnsi" w:eastAsiaTheme="majorEastAsia" w:hAnsiTheme="majorHAnsi" w:cstheme="majorBidi"/>
      <w:color w:val="auto"/>
      <w:spacing w:val="-10"/>
      <w:kern w:val="28"/>
      <w:sz w:val="56"/>
      <w:szCs w:val="56"/>
      <w14:ligatures w14:val="none"/>
    </w:rPr>
  </w:style>
  <w:style w:type="paragraph" w:styleId="Subtitle">
    <w:name w:val="Subtitle"/>
    <w:basedOn w:val="Normal"/>
    <w:next w:val="Normal"/>
    <w:link w:val="SubtitleChar"/>
    <w:uiPriority w:val="11"/>
    <w:qFormat/>
    <w:rsid w:val="004E71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131"/>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E71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131"/>
    <w:rPr>
      <w:rFonts w:cstheme="minorBidi"/>
      <w:i/>
      <w:iCs/>
      <w:color w:val="404040" w:themeColor="text1" w:themeTint="BF"/>
      <w:kern w:val="0"/>
      <w:sz w:val="20"/>
      <w:szCs w:val="22"/>
      <w14:ligatures w14:val="none"/>
    </w:rPr>
  </w:style>
  <w:style w:type="paragraph" w:styleId="ListParagraph">
    <w:name w:val="List Paragraph"/>
    <w:basedOn w:val="Normal"/>
    <w:uiPriority w:val="34"/>
    <w:qFormat/>
    <w:rsid w:val="004E7131"/>
    <w:pPr>
      <w:ind w:left="720"/>
      <w:contextualSpacing/>
    </w:pPr>
  </w:style>
  <w:style w:type="character" w:styleId="IntenseEmphasis">
    <w:name w:val="Intense Emphasis"/>
    <w:basedOn w:val="DefaultParagraphFont"/>
    <w:uiPriority w:val="21"/>
    <w:qFormat/>
    <w:rsid w:val="004E7131"/>
    <w:rPr>
      <w:i/>
      <w:iCs/>
      <w:color w:val="0F4761" w:themeColor="accent1" w:themeShade="BF"/>
    </w:rPr>
  </w:style>
  <w:style w:type="paragraph" w:styleId="IntenseQuote">
    <w:name w:val="Intense Quote"/>
    <w:basedOn w:val="Normal"/>
    <w:next w:val="Normal"/>
    <w:link w:val="IntenseQuoteChar"/>
    <w:uiPriority w:val="30"/>
    <w:qFormat/>
    <w:rsid w:val="004E7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131"/>
    <w:rPr>
      <w:rFonts w:cstheme="minorBidi"/>
      <w:i/>
      <w:iCs/>
      <w:color w:val="0F4761" w:themeColor="accent1" w:themeShade="BF"/>
      <w:kern w:val="0"/>
      <w:sz w:val="20"/>
      <w:szCs w:val="22"/>
      <w14:ligatures w14:val="none"/>
    </w:rPr>
  </w:style>
  <w:style w:type="character" w:styleId="IntenseReference">
    <w:name w:val="Intense Reference"/>
    <w:basedOn w:val="DefaultParagraphFont"/>
    <w:uiPriority w:val="32"/>
    <w:qFormat/>
    <w:rsid w:val="004E7131"/>
    <w:rPr>
      <w:b/>
      <w:bCs/>
      <w:smallCaps/>
      <w:color w:val="0F4761" w:themeColor="accent1" w:themeShade="BF"/>
      <w:spacing w:val="5"/>
    </w:rPr>
  </w:style>
  <w:style w:type="paragraph" w:styleId="BodyText">
    <w:name w:val="Body Text"/>
    <w:basedOn w:val="Normal"/>
    <w:link w:val="BodyTextChar"/>
    <w:uiPriority w:val="1"/>
    <w:qFormat/>
    <w:rsid w:val="004E7131"/>
    <w:pPr>
      <w:widowControl w:val="0"/>
      <w:autoSpaceDE w:val="0"/>
      <w:autoSpaceDN w:val="0"/>
      <w:spacing w:after="0"/>
      <w:ind w:hanging="720"/>
      <w:jc w:val="left"/>
    </w:pPr>
    <w:rPr>
      <w:rFonts w:ascii="Calibri" w:eastAsia="Calibri" w:hAnsi="Calibri" w:cs="Calibri"/>
      <w:b/>
      <w:bCs/>
      <w:sz w:val="22"/>
      <w:u w:val="single" w:color="000000"/>
      <w:lang w:bidi="en-US"/>
    </w:rPr>
  </w:style>
  <w:style w:type="character" w:customStyle="1" w:styleId="BodyTextChar">
    <w:name w:val="Body Text Char"/>
    <w:basedOn w:val="DefaultParagraphFont"/>
    <w:link w:val="BodyText"/>
    <w:uiPriority w:val="1"/>
    <w:rsid w:val="004E7131"/>
    <w:rPr>
      <w:rFonts w:ascii="Calibri" w:eastAsia="Calibri" w:hAnsi="Calibri" w:cs="Calibri"/>
      <w:b/>
      <w:bCs/>
      <w:color w:val="auto"/>
      <w:kern w:val="0"/>
      <w:szCs w:val="22"/>
      <w:u w:val="single" w:color="000000"/>
      <w:lang w:bidi="en-US"/>
      <w14:ligatures w14:val="none"/>
    </w:rPr>
  </w:style>
  <w:style w:type="paragraph" w:styleId="Header">
    <w:name w:val="header"/>
    <w:basedOn w:val="Normal"/>
    <w:link w:val="HeaderChar"/>
    <w:uiPriority w:val="99"/>
    <w:unhideWhenUsed/>
    <w:rsid w:val="007F054B"/>
    <w:pPr>
      <w:tabs>
        <w:tab w:val="center" w:pos="4680"/>
        <w:tab w:val="right" w:pos="9360"/>
      </w:tabs>
      <w:spacing w:before="0" w:after="0"/>
    </w:pPr>
  </w:style>
  <w:style w:type="character" w:customStyle="1" w:styleId="HeaderChar">
    <w:name w:val="Header Char"/>
    <w:basedOn w:val="DefaultParagraphFont"/>
    <w:link w:val="Header"/>
    <w:uiPriority w:val="99"/>
    <w:rsid w:val="007F054B"/>
    <w:rPr>
      <w:rFonts w:cstheme="minorBidi"/>
      <w:color w:val="auto"/>
      <w:kern w:val="0"/>
      <w:sz w:val="20"/>
      <w:szCs w:val="22"/>
      <w14:ligatures w14:val="none"/>
    </w:rPr>
  </w:style>
  <w:style w:type="paragraph" w:styleId="Footer">
    <w:name w:val="footer"/>
    <w:basedOn w:val="Normal"/>
    <w:link w:val="FooterChar"/>
    <w:uiPriority w:val="99"/>
    <w:unhideWhenUsed/>
    <w:rsid w:val="007F054B"/>
    <w:pPr>
      <w:tabs>
        <w:tab w:val="center" w:pos="4680"/>
        <w:tab w:val="right" w:pos="9360"/>
      </w:tabs>
      <w:spacing w:before="0" w:after="0"/>
    </w:pPr>
  </w:style>
  <w:style w:type="character" w:customStyle="1" w:styleId="FooterChar">
    <w:name w:val="Footer Char"/>
    <w:basedOn w:val="DefaultParagraphFont"/>
    <w:link w:val="Footer"/>
    <w:uiPriority w:val="99"/>
    <w:rsid w:val="007F054B"/>
    <w:rPr>
      <w:rFonts w:cstheme="minorBidi"/>
      <w:color w:val="auto"/>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7849f5-540e-4b63-a7a5-b4ecfa8af16a" xsi:nil="true"/>
    <lcf76f155ced4ddcb4097134ff3c332f xmlns="18394a12-c874-4ae4-85d8-b382f41895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F7167D143A240BD967DE189FAFD44" ma:contentTypeVersion="18" ma:contentTypeDescription="Create a new document." ma:contentTypeScope="" ma:versionID="682fd52003d1357a225c268c049af87e">
  <xsd:schema xmlns:xsd="http://www.w3.org/2001/XMLSchema" xmlns:xs="http://www.w3.org/2001/XMLSchema" xmlns:p="http://schemas.microsoft.com/office/2006/metadata/properties" xmlns:ns2="18394a12-c874-4ae4-85d8-b382f4189568" xmlns:ns3="6f7849f5-540e-4b63-a7a5-b4ecfa8af16a" targetNamespace="http://schemas.microsoft.com/office/2006/metadata/properties" ma:root="true" ma:fieldsID="c7d21a023bc442874efa1cd889871881" ns2:_="" ns3:_="">
    <xsd:import namespace="18394a12-c874-4ae4-85d8-b382f4189568"/>
    <xsd:import namespace="6f7849f5-540e-4b63-a7a5-b4ecfa8af1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94a12-c874-4ae4-85d8-b382f418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d92eaf-3b09-4278-8f48-fe9f329cbb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849f5-540e-4b63-a7a5-b4ecfa8af1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2cfd07-51e5-469c-9bd4-b3007db94c68}" ma:internalName="TaxCatchAll" ma:showField="CatchAllData" ma:web="6f7849f5-540e-4b63-a7a5-b4ecfa8a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E900E-1624-45DC-AA40-743595658FD7}">
  <ds:schemaRefs>
    <ds:schemaRef ds:uri="http://schemas.microsoft.com/office/2006/metadata/properties"/>
    <ds:schemaRef ds:uri="http://schemas.microsoft.com/office/infopath/2007/PartnerControls"/>
    <ds:schemaRef ds:uri="6f7849f5-540e-4b63-a7a5-b4ecfa8af16a"/>
    <ds:schemaRef ds:uri="18394a12-c874-4ae4-85d8-b382f4189568"/>
  </ds:schemaRefs>
</ds:datastoreItem>
</file>

<file path=customXml/itemProps2.xml><?xml version="1.0" encoding="utf-8"?>
<ds:datastoreItem xmlns:ds="http://schemas.openxmlformats.org/officeDocument/2006/customXml" ds:itemID="{9D36F38E-B90F-426F-8EEA-A5B3C93799EC}">
  <ds:schemaRefs>
    <ds:schemaRef ds:uri="http://schemas.microsoft.com/sharepoint/v3/contenttype/forms"/>
  </ds:schemaRefs>
</ds:datastoreItem>
</file>

<file path=customXml/itemProps3.xml><?xml version="1.0" encoding="utf-8"?>
<ds:datastoreItem xmlns:ds="http://schemas.openxmlformats.org/officeDocument/2006/customXml" ds:itemID="{0B7724FA-8F3E-453C-A459-DB9498205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94a12-c874-4ae4-85d8-b382f4189568"/>
    <ds:schemaRef ds:uri="6f7849f5-540e-4b63-a7a5-b4ecfa8af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1864</Words>
  <Characters>10332</Characters>
  <Application>Microsoft Office Word</Application>
  <DocSecurity>0</DocSecurity>
  <Lines>344</Lines>
  <Paragraphs>160</Paragraphs>
  <ScaleCrop>false</ScaleCrop>
  <HeadingPairs>
    <vt:vector size="2" baseType="variant">
      <vt:variant>
        <vt:lpstr>Title</vt:lpstr>
      </vt:variant>
      <vt:variant>
        <vt:i4>1</vt:i4>
      </vt:variant>
    </vt:vector>
  </HeadingPairs>
  <TitlesOfParts>
    <vt:vector size="1" baseType="lpstr">
      <vt:lpstr/>
    </vt:vector>
  </TitlesOfParts>
  <Company>Kyle + McManus Assoc.</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McManus</dc:creator>
  <cp:keywords/>
  <dc:description/>
  <cp:lastModifiedBy>Breeanna Smith</cp:lastModifiedBy>
  <cp:revision>3</cp:revision>
  <dcterms:created xsi:type="dcterms:W3CDTF">2026-02-09T14:53:00Z</dcterms:created>
  <dcterms:modified xsi:type="dcterms:W3CDTF">2026-02-13T01:56:00Z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0x010100579F7167D143A240BD967DE189FAFD44</vt:lpwstr>
  </property>
  <property fmtid="{D5CDD505-2E9C-101B-9397-08002B2CF9AE}" pid="3" name="MediaServiceImageTags">
    <vt:lpwstr/>
  </property>
</Properties>
</file>