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A606" w14:textId="77777777" w:rsidR="009E7F62" w:rsidRPr="00643752" w:rsidRDefault="0075526F" w:rsidP="009E7F62">
      <w:pPr>
        <w:spacing w:after="0" w:line="240" w:lineRule="auto"/>
        <w:jc w:val="center"/>
        <w:rPr>
          <w:rStyle w:val="IntenseReference"/>
          <w:rFonts w:ascii="Algerian" w:hAnsi="Algerian"/>
          <w:color w:val="2F5496" w:themeColor="accent5" w:themeShade="BF"/>
          <w:sz w:val="40"/>
          <w:szCs w:val="40"/>
        </w:rPr>
      </w:pPr>
      <w:r w:rsidRPr="00643752">
        <w:rPr>
          <w:rStyle w:val="IntenseReference"/>
          <w:rFonts w:ascii="Algerian" w:hAnsi="Algerian"/>
          <w:color w:val="2F5496" w:themeColor="accent5" w:themeShade="BF"/>
          <w:sz w:val="40"/>
          <w:szCs w:val="40"/>
        </w:rPr>
        <w:t>B</w:t>
      </w:r>
      <w:r w:rsidR="005300F3" w:rsidRPr="00643752">
        <w:rPr>
          <w:rStyle w:val="IntenseReference"/>
          <w:rFonts w:ascii="Algerian" w:hAnsi="Algerian"/>
          <w:color w:val="2F5496" w:themeColor="accent5" w:themeShade="BF"/>
          <w:sz w:val="40"/>
          <w:szCs w:val="40"/>
        </w:rPr>
        <w:t>orough of Bloomingdale</w:t>
      </w:r>
    </w:p>
    <w:p w14:paraId="2282F20A" w14:textId="6788DFBB" w:rsidR="009E7F62" w:rsidRDefault="00ED43C7" w:rsidP="009E7F62">
      <w:pPr>
        <w:spacing w:after="0" w:line="240" w:lineRule="auto"/>
        <w:rPr>
          <w:rStyle w:val="IntenseReference"/>
          <w:color w:val="2F5496" w:themeColor="accent5" w:themeShade="BF"/>
          <w:sz w:val="48"/>
        </w:rPr>
      </w:pPr>
      <w:r>
        <w:rPr>
          <w:noProof/>
        </w:rPr>
        <w:drawing>
          <wp:anchor distT="0" distB="0" distL="114300" distR="114300" simplePos="0" relativeHeight="251662336" behindDoc="1" locked="0" layoutInCell="1" allowOverlap="1" wp14:anchorId="577BE495" wp14:editId="45227E64">
            <wp:simplePos x="0" y="0"/>
            <wp:positionH relativeFrom="margin">
              <wp:align>center</wp:align>
            </wp:positionH>
            <wp:positionV relativeFrom="page">
              <wp:posOffset>990600</wp:posOffset>
            </wp:positionV>
            <wp:extent cx="914400" cy="914400"/>
            <wp:effectExtent l="0" t="0" r="0" b="0"/>
            <wp:wrapTight wrapText="bothSides">
              <wp:wrapPolygon edited="0">
                <wp:start x="6750" y="0"/>
                <wp:lineTo x="4050" y="1350"/>
                <wp:lineTo x="0" y="5400"/>
                <wp:lineTo x="0" y="15750"/>
                <wp:lineTo x="5400" y="21150"/>
                <wp:lineTo x="6750" y="21150"/>
                <wp:lineTo x="14400" y="21150"/>
                <wp:lineTo x="15750" y="21150"/>
                <wp:lineTo x="21150" y="15750"/>
                <wp:lineTo x="21150" y="5400"/>
                <wp:lineTo x="17100" y="1350"/>
                <wp:lineTo x="14400" y="0"/>
                <wp:lineTo x="675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829CD" w14:textId="4AA9EEB8" w:rsidR="00CD6A5E" w:rsidRPr="00C3508E" w:rsidRDefault="009E7F62" w:rsidP="00ED43C7">
      <w:pPr>
        <w:spacing w:after="0" w:line="240" w:lineRule="auto"/>
        <w:rPr>
          <w:rStyle w:val="IntenseReference"/>
          <w:rFonts w:cs="Times New Roman"/>
          <w:b w:val="0"/>
          <w:bCs w:val="0"/>
          <w:color w:val="2F5496" w:themeColor="accent5" w:themeShade="BF"/>
          <w:sz w:val="20"/>
          <w:szCs w:val="20"/>
        </w:rPr>
      </w:pPr>
      <w:r w:rsidRPr="00C3508E">
        <w:rPr>
          <w:rStyle w:val="IntenseReference"/>
          <w:rFonts w:cs="Times New Roman"/>
          <w:color w:val="2F5496" w:themeColor="accent5" w:themeShade="BF"/>
          <w:sz w:val="20"/>
          <w:szCs w:val="20"/>
        </w:rPr>
        <w:t>Office of:</w:t>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C3508E">
        <w:rPr>
          <w:rStyle w:val="IntenseReference"/>
          <w:rFonts w:cs="Times New Roman"/>
          <w:b w:val="0"/>
          <w:bCs w:val="0"/>
          <w:color w:val="2F5496" w:themeColor="accent5" w:themeShade="BF"/>
          <w:sz w:val="20"/>
          <w:szCs w:val="20"/>
        </w:rPr>
        <w:t xml:space="preserve"> </w:t>
      </w:r>
      <w:r w:rsidR="00CD6A5E" w:rsidRPr="00C3508E">
        <w:rPr>
          <w:rStyle w:val="IntenseReference"/>
          <w:rFonts w:cs="Times New Roman"/>
          <w:b w:val="0"/>
          <w:bCs w:val="0"/>
          <w:color w:val="2F5496" w:themeColor="accent5" w:themeShade="BF"/>
          <w:sz w:val="20"/>
          <w:szCs w:val="20"/>
        </w:rPr>
        <w:t>phone: (973) 838-0778 x-2</w:t>
      </w:r>
      <w:r w:rsidR="00C3508E" w:rsidRPr="00C3508E">
        <w:rPr>
          <w:rStyle w:val="IntenseReference"/>
          <w:rFonts w:cs="Times New Roman"/>
          <w:b w:val="0"/>
          <w:bCs w:val="0"/>
          <w:color w:val="2F5496" w:themeColor="accent5" w:themeShade="BF"/>
          <w:sz w:val="20"/>
          <w:szCs w:val="20"/>
        </w:rPr>
        <w:t>39</w:t>
      </w:r>
    </w:p>
    <w:p w14:paraId="57E6F45F" w14:textId="1A26237D" w:rsidR="00CD6A5E" w:rsidRPr="00C3508E" w:rsidRDefault="00C3508E" w:rsidP="00ED43C7">
      <w:pPr>
        <w:spacing w:after="0" w:line="240" w:lineRule="auto"/>
        <w:rPr>
          <w:rStyle w:val="IntenseReference"/>
          <w:rFonts w:cs="Times New Roman"/>
          <w:b w:val="0"/>
          <w:bCs w:val="0"/>
          <w:color w:val="2F5496" w:themeColor="accent5" w:themeShade="BF"/>
          <w:sz w:val="20"/>
          <w:szCs w:val="20"/>
        </w:rPr>
      </w:pPr>
      <w:r>
        <w:rPr>
          <w:rStyle w:val="IntenseReference"/>
          <w:rFonts w:cs="Times New Roman"/>
          <w:b w:val="0"/>
          <w:bCs w:val="0"/>
          <w:color w:val="2F5496" w:themeColor="accent5" w:themeShade="BF"/>
          <w:sz w:val="20"/>
          <w:szCs w:val="20"/>
        </w:rPr>
        <w:t>BREEANNA SMITH, RMC/CM</w:t>
      </w:r>
      <w:r w:rsidR="00204A31">
        <w:rPr>
          <w:rStyle w:val="IntenseReference"/>
          <w:rFonts w:cs="Times New Roman"/>
          <w:b w:val="0"/>
          <w:bCs w:val="0"/>
          <w:color w:val="2F5496" w:themeColor="accent5" w:themeShade="BF"/>
          <w:sz w:val="20"/>
          <w:szCs w:val="20"/>
        </w:rPr>
        <w:t>R</w:t>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Pr>
          <w:rStyle w:val="IntenseReference"/>
          <w:rFonts w:cs="Times New Roman"/>
          <w:b w:val="0"/>
          <w:bCs w:val="0"/>
          <w:color w:val="2F5496" w:themeColor="accent5" w:themeShade="BF"/>
          <w:sz w:val="20"/>
          <w:szCs w:val="20"/>
        </w:rPr>
        <w:t xml:space="preserve">    </w:t>
      </w:r>
      <w:r w:rsidR="00CD6A5E" w:rsidRPr="00C3508E">
        <w:rPr>
          <w:rStyle w:val="IntenseReference"/>
          <w:rFonts w:cs="Times New Roman"/>
          <w:b w:val="0"/>
          <w:bCs w:val="0"/>
          <w:color w:val="2F5496" w:themeColor="accent5" w:themeShade="BF"/>
          <w:sz w:val="20"/>
          <w:szCs w:val="20"/>
        </w:rPr>
        <w:t>fax (973) 838-5115</w:t>
      </w:r>
    </w:p>
    <w:p w14:paraId="2F5AF9DF" w14:textId="4B1933C9" w:rsidR="00204A31" w:rsidRDefault="00C3508E" w:rsidP="00C3508E">
      <w:pPr>
        <w:spacing w:after="0" w:line="240" w:lineRule="auto"/>
        <w:jc w:val="right"/>
        <w:rPr>
          <w:rStyle w:val="IntenseReference"/>
          <w:rFonts w:cs="Times New Roman"/>
          <w:b w:val="0"/>
          <w:bCs w:val="0"/>
          <w:color w:val="2F5496" w:themeColor="accent5" w:themeShade="BF"/>
          <w:sz w:val="20"/>
          <w:szCs w:val="20"/>
        </w:rPr>
      </w:pPr>
      <w:r>
        <w:rPr>
          <w:rStyle w:val="IntenseReference"/>
          <w:rFonts w:cs="Times New Roman"/>
          <w:b w:val="0"/>
          <w:bCs w:val="0"/>
          <w:color w:val="2F5496" w:themeColor="accent5" w:themeShade="BF"/>
          <w:sz w:val="20"/>
          <w:szCs w:val="20"/>
        </w:rPr>
        <w:t xml:space="preserve">MUNICIPAL CLERK </w:t>
      </w:r>
      <w:r>
        <w:rPr>
          <w:rStyle w:val="IntenseReference"/>
          <w:rFonts w:cs="Times New Roman"/>
          <w:b w:val="0"/>
          <w:bCs w:val="0"/>
          <w:color w:val="2F5496" w:themeColor="accent5" w:themeShade="BF"/>
          <w:sz w:val="20"/>
          <w:szCs w:val="20"/>
        </w:rPr>
        <w:tab/>
      </w:r>
      <w:r w:rsidR="000625AB"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 xml:space="preserve">   </w:t>
      </w:r>
      <w:r>
        <w:rPr>
          <w:rStyle w:val="IntenseReference"/>
          <w:rFonts w:cs="Times New Roman"/>
          <w:b w:val="0"/>
          <w:bCs w:val="0"/>
          <w:color w:val="2F5496" w:themeColor="accent5" w:themeShade="BF"/>
          <w:sz w:val="20"/>
          <w:szCs w:val="20"/>
        </w:rPr>
        <w:t xml:space="preserve">   </w:t>
      </w:r>
      <w:hyperlink r:id="rId9" w:history="1">
        <w:r w:rsidR="00204A31" w:rsidRPr="00307581">
          <w:rPr>
            <w:rStyle w:val="Hyperlink"/>
            <w:rFonts w:cs="Times New Roman"/>
            <w:spacing w:val="5"/>
            <w:sz w:val="20"/>
            <w:szCs w:val="20"/>
          </w:rPr>
          <w:t>bsmith@bloomingdalenj.net</w:t>
        </w:r>
      </w:hyperlink>
    </w:p>
    <w:p w14:paraId="4F0D7968" w14:textId="7B05FA29" w:rsidR="00B4798B" w:rsidRPr="00C3508E" w:rsidRDefault="00CD6A5E" w:rsidP="00C3508E">
      <w:pPr>
        <w:spacing w:after="0" w:line="240" w:lineRule="auto"/>
        <w:jc w:val="right"/>
        <w:rPr>
          <w:rStyle w:val="IntenseReference"/>
          <w:rFonts w:cs="Times New Roman"/>
          <w:b w:val="0"/>
          <w:bCs w:val="0"/>
          <w:color w:val="2F5496" w:themeColor="accent5" w:themeShade="BF"/>
          <w:sz w:val="20"/>
          <w:szCs w:val="20"/>
        </w:rPr>
      </w:pP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p>
    <w:p w14:paraId="7A939A22" w14:textId="77777777" w:rsidR="00B4798B" w:rsidRPr="00C3508E" w:rsidRDefault="00B4798B" w:rsidP="00B4798B">
      <w:pPr>
        <w:spacing w:after="0" w:line="240" w:lineRule="auto"/>
        <w:jc w:val="right"/>
        <w:rPr>
          <w:rStyle w:val="IntenseReference"/>
          <w:rFonts w:cs="Times New Roman"/>
          <w:b w:val="0"/>
          <w:bCs w:val="0"/>
          <w:color w:val="2F5496" w:themeColor="accent5" w:themeShade="BF"/>
          <w:sz w:val="20"/>
          <w:szCs w:val="20"/>
        </w:rPr>
      </w:pPr>
    </w:p>
    <w:p w14:paraId="2B5F08AD" w14:textId="0B8D0A42" w:rsidR="009E7F62" w:rsidRPr="00C3508E" w:rsidRDefault="009E7F62" w:rsidP="00B4798B">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Municipal office</w:t>
      </w:r>
    </w:p>
    <w:p w14:paraId="619BE008" w14:textId="5E2884CB" w:rsidR="00CD6A5E" w:rsidRPr="00C3508E" w:rsidRDefault="005300F3" w:rsidP="00B4798B">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101 Hamburg Turnpike</w:t>
      </w:r>
    </w:p>
    <w:p w14:paraId="34B81302" w14:textId="6C82664F" w:rsidR="005300F3" w:rsidRPr="00C3508E" w:rsidRDefault="005300F3" w:rsidP="00643752">
      <w:pPr>
        <w:spacing w:after="0" w:line="240" w:lineRule="auto"/>
        <w:jc w:val="center"/>
        <w:rPr>
          <w:rStyle w:val="IntenseReference"/>
          <w:rFonts w:cs="Times New Roman"/>
          <w:color w:val="2F5496" w:themeColor="accent5" w:themeShade="BF"/>
          <w:sz w:val="20"/>
          <w:szCs w:val="20"/>
        </w:rPr>
      </w:pPr>
      <w:proofErr w:type="spellStart"/>
      <w:r w:rsidRPr="00C3508E">
        <w:rPr>
          <w:rStyle w:val="IntenseReference"/>
          <w:rFonts w:cs="Times New Roman"/>
          <w:color w:val="2F5496" w:themeColor="accent5" w:themeShade="BF"/>
          <w:sz w:val="20"/>
          <w:szCs w:val="20"/>
        </w:rPr>
        <w:t>bloomingdale</w:t>
      </w:r>
      <w:proofErr w:type="spellEnd"/>
      <w:r w:rsidRPr="00C3508E">
        <w:rPr>
          <w:rStyle w:val="IntenseReference"/>
          <w:rFonts w:cs="Times New Roman"/>
          <w:color w:val="2F5496" w:themeColor="accent5" w:themeShade="BF"/>
          <w:sz w:val="20"/>
          <w:szCs w:val="20"/>
        </w:rPr>
        <w:t>, new jersey 07403</w:t>
      </w:r>
    </w:p>
    <w:p w14:paraId="2CFAF38C" w14:textId="325E08AB" w:rsidR="00C56509" w:rsidRDefault="00C56509" w:rsidP="00C56509">
      <w:pPr>
        <w:spacing w:after="0" w:line="240" w:lineRule="auto"/>
        <w:jc w:val="right"/>
        <w:rPr>
          <w:rStyle w:val="IntenseReference"/>
          <w:color w:val="2F5496" w:themeColor="accent5" w:themeShade="BF"/>
          <w:szCs w:val="24"/>
        </w:rPr>
      </w:pPr>
    </w:p>
    <w:p w14:paraId="6CA245F4" w14:textId="522195FF" w:rsidR="00387D39" w:rsidRPr="00C17281" w:rsidRDefault="00C27413" w:rsidP="00C17281">
      <w:pPr>
        <w:ind w:left="720" w:hanging="720"/>
        <w:jc w:val="center"/>
        <w:rPr>
          <w:b/>
          <w:bCs/>
          <w:szCs w:val="24"/>
          <w:u w:val="single"/>
        </w:rPr>
      </w:pPr>
      <w:r w:rsidRPr="00C17281">
        <w:rPr>
          <w:b/>
          <w:bCs/>
          <w:szCs w:val="24"/>
          <w:u w:val="single"/>
        </w:rPr>
        <w:t>LEGAL NOTICE</w:t>
      </w:r>
    </w:p>
    <w:p w14:paraId="15367447" w14:textId="77777777" w:rsidR="00286C0A" w:rsidRPr="00286C0A" w:rsidRDefault="00286C0A" w:rsidP="00286C0A">
      <w:pPr>
        <w:spacing w:after="0" w:line="240" w:lineRule="auto"/>
        <w:jc w:val="center"/>
        <w:rPr>
          <w:rFonts w:cs="Times New Roman"/>
          <w:b/>
          <w:szCs w:val="24"/>
        </w:rPr>
      </w:pPr>
    </w:p>
    <w:p w14:paraId="65179677" w14:textId="679536A5" w:rsidR="00286C0A" w:rsidRPr="00286C0A" w:rsidRDefault="00286C0A" w:rsidP="00286C0A">
      <w:pPr>
        <w:spacing w:after="0" w:line="240" w:lineRule="auto"/>
        <w:jc w:val="center"/>
        <w:rPr>
          <w:rFonts w:cs="Times New Roman"/>
          <w:b/>
          <w:szCs w:val="24"/>
        </w:rPr>
      </w:pPr>
      <w:r w:rsidRPr="00286C0A">
        <w:rPr>
          <w:rFonts w:cs="Times New Roman"/>
          <w:b/>
          <w:szCs w:val="24"/>
        </w:rPr>
        <w:t>ORDINANCE NO. 1-202</w:t>
      </w:r>
      <w:r w:rsidR="00C17281">
        <w:rPr>
          <w:rFonts w:cs="Times New Roman"/>
          <w:b/>
          <w:szCs w:val="24"/>
        </w:rPr>
        <w:t>6</w:t>
      </w:r>
    </w:p>
    <w:p w14:paraId="54F448CB" w14:textId="77777777" w:rsidR="00286C0A" w:rsidRPr="00286C0A" w:rsidRDefault="00286C0A" w:rsidP="00C17281">
      <w:pPr>
        <w:spacing w:after="0" w:line="240" w:lineRule="auto"/>
        <w:jc w:val="center"/>
        <w:rPr>
          <w:rFonts w:cs="Times New Roman"/>
          <w:b/>
          <w:szCs w:val="24"/>
        </w:rPr>
      </w:pPr>
      <w:r w:rsidRPr="00286C0A">
        <w:rPr>
          <w:rFonts w:cs="Times New Roman"/>
          <w:b/>
          <w:szCs w:val="24"/>
        </w:rPr>
        <w:t>OF THE GOVERNING BODY</w:t>
      </w:r>
    </w:p>
    <w:p w14:paraId="3A996D5C" w14:textId="77777777" w:rsidR="00286C0A" w:rsidRPr="00286C0A" w:rsidRDefault="00286C0A" w:rsidP="00286C0A">
      <w:pPr>
        <w:spacing w:after="0" w:line="240" w:lineRule="auto"/>
        <w:jc w:val="center"/>
        <w:rPr>
          <w:rFonts w:cs="Times New Roman"/>
          <w:b/>
          <w:szCs w:val="24"/>
        </w:rPr>
      </w:pPr>
      <w:r w:rsidRPr="00286C0A">
        <w:rPr>
          <w:rFonts w:cs="Times New Roman"/>
          <w:b/>
          <w:szCs w:val="24"/>
        </w:rPr>
        <w:t>OF THE BOROUGH OF BLOOMINGDALE</w:t>
      </w:r>
    </w:p>
    <w:p w14:paraId="2B05458E" w14:textId="77777777" w:rsidR="00286C0A" w:rsidRPr="00286C0A" w:rsidRDefault="00286C0A" w:rsidP="00286C0A">
      <w:pPr>
        <w:spacing w:after="0" w:line="240" w:lineRule="auto"/>
        <w:jc w:val="center"/>
        <w:rPr>
          <w:rFonts w:cs="Times New Roman"/>
          <w:b/>
          <w:szCs w:val="24"/>
        </w:rPr>
      </w:pPr>
    </w:p>
    <w:p w14:paraId="067BC733" w14:textId="77777777" w:rsidR="00801EF7" w:rsidRPr="00801EF7" w:rsidRDefault="00801EF7" w:rsidP="00801EF7">
      <w:pPr>
        <w:widowControl w:val="0"/>
        <w:spacing w:before="190" w:after="0" w:line="240" w:lineRule="auto"/>
        <w:ind w:left="160" w:right="115"/>
        <w:jc w:val="both"/>
        <w:rPr>
          <w:rFonts w:eastAsia="Times New Roman" w:cs="Times New Roman"/>
          <w:szCs w:val="24"/>
        </w:rPr>
      </w:pPr>
      <w:r w:rsidRPr="00801EF7">
        <w:rPr>
          <w:rFonts w:eastAsia="Calibri" w:hAnsi="Calibri" w:cs="Times New Roman"/>
          <w:b/>
          <w:spacing w:val="-1"/>
        </w:rPr>
        <w:t>AN</w:t>
      </w:r>
      <w:r w:rsidRPr="00801EF7">
        <w:rPr>
          <w:rFonts w:eastAsia="Calibri" w:hAnsi="Calibri" w:cs="Times New Roman"/>
          <w:b/>
          <w:spacing w:val="45"/>
        </w:rPr>
        <w:t xml:space="preserve"> </w:t>
      </w:r>
      <w:r w:rsidRPr="00801EF7">
        <w:rPr>
          <w:rFonts w:eastAsia="Calibri" w:hAnsi="Calibri" w:cs="Times New Roman"/>
          <w:b/>
          <w:spacing w:val="-1"/>
        </w:rPr>
        <w:t>ORDINANCE</w:t>
      </w:r>
      <w:r w:rsidRPr="00801EF7">
        <w:rPr>
          <w:rFonts w:eastAsia="Calibri" w:hAnsi="Calibri" w:cs="Times New Roman"/>
          <w:b/>
          <w:spacing w:val="46"/>
        </w:rPr>
        <w:t xml:space="preserve"> </w:t>
      </w:r>
      <w:r w:rsidRPr="00801EF7">
        <w:rPr>
          <w:rFonts w:eastAsia="Calibri" w:hAnsi="Calibri" w:cs="Times New Roman"/>
          <w:b/>
          <w:spacing w:val="-1"/>
        </w:rPr>
        <w:t>ESTABLISHING</w:t>
      </w:r>
      <w:r w:rsidRPr="00801EF7">
        <w:rPr>
          <w:rFonts w:eastAsia="Calibri" w:hAnsi="Calibri" w:cs="Times New Roman"/>
          <w:b/>
          <w:spacing w:val="43"/>
        </w:rPr>
        <w:t xml:space="preserve"> </w:t>
      </w:r>
      <w:r w:rsidRPr="00801EF7">
        <w:rPr>
          <w:rFonts w:eastAsia="Calibri" w:hAnsi="Calibri" w:cs="Times New Roman"/>
          <w:b/>
        </w:rPr>
        <w:t>A</w:t>
      </w:r>
      <w:r w:rsidRPr="00801EF7">
        <w:rPr>
          <w:rFonts w:eastAsia="Calibri" w:hAnsi="Calibri" w:cs="Times New Roman"/>
          <w:b/>
          <w:spacing w:val="45"/>
        </w:rPr>
        <w:t xml:space="preserve"> </w:t>
      </w:r>
      <w:r w:rsidRPr="00801EF7">
        <w:rPr>
          <w:rFonts w:eastAsia="Calibri" w:hAnsi="Calibri" w:cs="Times New Roman"/>
          <w:b/>
          <w:spacing w:val="-1"/>
        </w:rPr>
        <w:t>MINIMUM</w:t>
      </w:r>
      <w:r w:rsidRPr="00801EF7">
        <w:rPr>
          <w:rFonts w:eastAsia="Calibri" w:hAnsi="Calibri" w:cs="Times New Roman"/>
          <w:b/>
          <w:spacing w:val="44"/>
        </w:rPr>
        <w:t xml:space="preserve"> </w:t>
      </w:r>
      <w:r w:rsidRPr="00801EF7">
        <w:rPr>
          <w:rFonts w:eastAsia="Calibri" w:hAnsi="Calibri" w:cs="Times New Roman"/>
          <w:b/>
        </w:rPr>
        <w:t>AND</w:t>
      </w:r>
      <w:r w:rsidRPr="00801EF7">
        <w:rPr>
          <w:rFonts w:eastAsia="Calibri" w:hAnsi="Calibri" w:cs="Times New Roman"/>
          <w:b/>
          <w:spacing w:val="45"/>
        </w:rPr>
        <w:t xml:space="preserve"> </w:t>
      </w:r>
      <w:r w:rsidRPr="00801EF7">
        <w:rPr>
          <w:rFonts w:eastAsia="Calibri" w:hAnsi="Calibri" w:cs="Times New Roman"/>
          <w:b/>
          <w:spacing w:val="-1"/>
        </w:rPr>
        <w:t>MAXIMUM</w:t>
      </w:r>
      <w:r w:rsidRPr="00801EF7">
        <w:rPr>
          <w:rFonts w:eastAsia="Calibri" w:hAnsi="Calibri" w:cs="Times New Roman"/>
          <w:b/>
          <w:spacing w:val="44"/>
        </w:rPr>
        <w:t xml:space="preserve"> </w:t>
      </w:r>
      <w:r w:rsidRPr="00801EF7">
        <w:rPr>
          <w:rFonts w:eastAsia="Calibri" w:hAnsi="Calibri" w:cs="Times New Roman"/>
          <w:b/>
          <w:spacing w:val="-1"/>
        </w:rPr>
        <w:t>RANGE</w:t>
      </w:r>
      <w:r w:rsidRPr="00801EF7">
        <w:rPr>
          <w:rFonts w:eastAsia="Calibri" w:hAnsi="Calibri" w:cs="Times New Roman"/>
          <w:b/>
          <w:spacing w:val="46"/>
        </w:rPr>
        <w:t xml:space="preserve"> </w:t>
      </w:r>
      <w:r w:rsidRPr="00801EF7">
        <w:rPr>
          <w:rFonts w:eastAsia="Calibri" w:hAnsi="Calibri" w:cs="Times New Roman"/>
          <w:b/>
        </w:rPr>
        <w:t>OF</w:t>
      </w:r>
      <w:r w:rsidRPr="00801EF7">
        <w:rPr>
          <w:rFonts w:eastAsia="Calibri" w:hAnsi="Calibri" w:cs="Times New Roman"/>
          <w:b/>
          <w:spacing w:val="47"/>
        </w:rPr>
        <w:t xml:space="preserve"> </w:t>
      </w:r>
      <w:r w:rsidRPr="00801EF7">
        <w:rPr>
          <w:rFonts w:eastAsia="Calibri" w:hAnsi="Calibri" w:cs="Times New Roman"/>
          <w:b/>
          <w:spacing w:val="-1"/>
        </w:rPr>
        <w:t>SALARY</w:t>
      </w:r>
      <w:r w:rsidRPr="00801EF7">
        <w:rPr>
          <w:rFonts w:eastAsia="Calibri" w:hAnsi="Calibri" w:cs="Times New Roman"/>
          <w:b/>
          <w:spacing w:val="35"/>
        </w:rPr>
        <w:t xml:space="preserve"> </w:t>
      </w:r>
      <w:r w:rsidRPr="00801EF7">
        <w:rPr>
          <w:rFonts w:eastAsia="Calibri" w:hAnsi="Calibri" w:cs="Times New Roman"/>
          <w:b/>
          <w:spacing w:val="-1"/>
        </w:rPr>
        <w:t>AND</w:t>
      </w:r>
      <w:r w:rsidRPr="00801EF7">
        <w:rPr>
          <w:rFonts w:eastAsia="Calibri" w:hAnsi="Calibri" w:cs="Times New Roman"/>
          <w:b/>
          <w:spacing w:val="35"/>
        </w:rPr>
        <w:t xml:space="preserve"> </w:t>
      </w:r>
      <w:r w:rsidRPr="00801EF7">
        <w:rPr>
          <w:rFonts w:eastAsia="Calibri" w:hAnsi="Calibri" w:cs="Times New Roman"/>
          <w:b/>
          <w:spacing w:val="-1"/>
        </w:rPr>
        <w:t>COMPENSATION</w:t>
      </w:r>
      <w:r w:rsidRPr="00801EF7">
        <w:rPr>
          <w:rFonts w:eastAsia="Calibri" w:hAnsi="Calibri" w:cs="Times New Roman"/>
          <w:b/>
          <w:spacing w:val="35"/>
        </w:rPr>
        <w:t xml:space="preserve"> </w:t>
      </w:r>
      <w:r w:rsidRPr="00801EF7">
        <w:rPr>
          <w:rFonts w:eastAsia="Calibri" w:hAnsi="Calibri" w:cs="Times New Roman"/>
          <w:b/>
          <w:spacing w:val="-1"/>
        </w:rPr>
        <w:t>FOR</w:t>
      </w:r>
      <w:r w:rsidRPr="00801EF7">
        <w:rPr>
          <w:rFonts w:eastAsia="Calibri" w:hAnsi="Calibri" w:cs="Times New Roman"/>
          <w:b/>
          <w:spacing w:val="35"/>
        </w:rPr>
        <w:t xml:space="preserve"> </w:t>
      </w:r>
      <w:r w:rsidRPr="00801EF7">
        <w:rPr>
          <w:rFonts w:eastAsia="Calibri" w:hAnsi="Calibri" w:cs="Times New Roman"/>
          <w:b/>
          <w:spacing w:val="-1"/>
        </w:rPr>
        <w:t>CATEGORIES</w:t>
      </w:r>
      <w:r w:rsidRPr="00801EF7">
        <w:rPr>
          <w:rFonts w:eastAsia="Calibri" w:hAnsi="Calibri" w:cs="Times New Roman"/>
          <w:b/>
          <w:spacing w:val="36"/>
        </w:rPr>
        <w:t xml:space="preserve"> </w:t>
      </w:r>
      <w:r w:rsidRPr="00801EF7">
        <w:rPr>
          <w:rFonts w:eastAsia="Calibri" w:hAnsi="Calibri" w:cs="Times New Roman"/>
          <w:b/>
          <w:spacing w:val="-1"/>
        </w:rPr>
        <w:t>AND</w:t>
      </w:r>
      <w:r w:rsidRPr="00801EF7">
        <w:rPr>
          <w:rFonts w:eastAsia="Calibri" w:hAnsi="Calibri" w:cs="Times New Roman"/>
          <w:b/>
          <w:spacing w:val="35"/>
        </w:rPr>
        <w:t xml:space="preserve"> </w:t>
      </w:r>
      <w:r w:rsidRPr="00801EF7">
        <w:rPr>
          <w:rFonts w:eastAsia="Calibri" w:hAnsi="Calibri" w:cs="Times New Roman"/>
          <w:b/>
          <w:spacing w:val="-1"/>
        </w:rPr>
        <w:t>TITLES</w:t>
      </w:r>
      <w:r w:rsidRPr="00801EF7">
        <w:rPr>
          <w:rFonts w:eastAsia="Calibri" w:hAnsi="Calibri" w:cs="Times New Roman"/>
          <w:b/>
          <w:spacing w:val="36"/>
        </w:rPr>
        <w:t xml:space="preserve"> </w:t>
      </w:r>
      <w:r w:rsidRPr="00801EF7">
        <w:rPr>
          <w:rFonts w:eastAsia="Calibri" w:hAnsi="Calibri" w:cs="Times New Roman"/>
          <w:b/>
        </w:rPr>
        <w:t>OF</w:t>
      </w:r>
      <w:r w:rsidRPr="00801EF7">
        <w:rPr>
          <w:rFonts w:eastAsia="Calibri" w:hAnsi="Calibri" w:cs="Times New Roman"/>
          <w:b/>
          <w:spacing w:val="33"/>
        </w:rPr>
        <w:t xml:space="preserve"> </w:t>
      </w:r>
      <w:r w:rsidRPr="00801EF7">
        <w:rPr>
          <w:rFonts w:eastAsia="Calibri" w:hAnsi="Calibri" w:cs="Times New Roman"/>
          <w:b/>
          <w:spacing w:val="-1"/>
        </w:rPr>
        <w:t>OFFICERS,</w:t>
      </w:r>
      <w:r w:rsidRPr="00801EF7">
        <w:rPr>
          <w:rFonts w:eastAsia="Calibri" w:hAnsi="Calibri" w:cs="Times New Roman"/>
          <w:b/>
          <w:spacing w:val="63"/>
        </w:rPr>
        <w:t xml:space="preserve"> </w:t>
      </w:r>
      <w:r w:rsidRPr="00801EF7">
        <w:rPr>
          <w:rFonts w:eastAsia="Calibri" w:hAnsi="Calibri" w:cs="Times New Roman"/>
          <w:b/>
          <w:spacing w:val="-1"/>
        </w:rPr>
        <w:t>NON-CONTRACTUAL</w:t>
      </w:r>
      <w:r w:rsidRPr="00801EF7">
        <w:rPr>
          <w:rFonts w:eastAsia="Calibri" w:hAnsi="Calibri" w:cs="Times New Roman"/>
          <w:b/>
          <w:spacing w:val="43"/>
        </w:rPr>
        <w:t xml:space="preserve"> </w:t>
      </w:r>
      <w:r w:rsidRPr="00801EF7">
        <w:rPr>
          <w:rFonts w:eastAsia="Calibri" w:hAnsi="Calibri" w:cs="Times New Roman"/>
          <w:b/>
          <w:spacing w:val="-1"/>
        </w:rPr>
        <w:t>EMPLOYEES</w:t>
      </w:r>
      <w:r w:rsidRPr="00801EF7">
        <w:rPr>
          <w:rFonts w:eastAsia="Calibri" w:hAnsi="Calibri" w:cs="Times New Roman"/>
          <w:b/>
          <w:spacing w:val="44"/>
        </w:rPr>
        <w:t xml:space="preserve"> </w:t>
      </w:r>
      <w:r w:rsidRPr="00801EF7">
        <w:rPr>
          <w:rFonts w:eastAsia="Calibri" w:hAnsi="Calibri" w:cs="Times New Roman"/>
          <w:b/>
          <w:spacing w:val="-1"/>
        </w:rPr>
        <w:t>AND</w:t>
      </w:r>
      <w:r w:rsidRPr="00801EF7">
        <w:rPr>
          <w:rFonts w:eastAsia="Calibri" w:hAnsi="Calibri" w:cs="Times New Roman"/>
          <w:b/>
          <w:spacing w:val="40"/>
        </w:rPr>
        <w:t xml:space="preserve"> </w:t>
      </w:r>
      <w:r w:rsidRPr="00801EF7">
        <w:rPr>
          <w:rFonts w:eastAsia="Calibri" w:hAnsi="Calibri" w:cs="Times New Roman"/>
          <w:b/>
          <w:spacing w:val="-1"/>
        </w:rPr>
        <w:t>CONTRACTUAL</w:t>
      </w:r>
      <w:r w:rsidRPr="00801EF7">
        <w:rPr>
          <w:rFonts w:eastAsia="Calibri" w:hAnsi="Calibri" w:cs="Times New Roman"/>
          <w:b/>
          <w:spacing w:val="43"/>
        </w:rPr>
        <w:t xml:space="preserve"> </w:t>
      </w:r>
      <w:r w:rsidRPr="00801EF7">
        <w:rPr>
          <w:rFonts w:eastAsia="Calibri" w:hAnsi="Calibri" w:cs="Times New Roman"/>
          <w:b/>
          <w:spacing w:val="-1"/>
        </w:rPr>
        <w:t>EMPLOYEES</w:t>
      </w:r>
      <w:r w:rsidRPr="00801EF7">
        <w:rPr>
          <w:rFonts w:eastAsia="Calibri" w:hAnsi="Calibri" w:cs="Times New Roman"/>
          <w:b/>
          <w:spacing w:val="44"/>
        </w:rPr>
        <w:t xml:space="preserve"> </w:t>
      </w:r>
      <w:r w:rsidRPr="00801EF7">
        <w:rPr>
          <w:rFonts w:eastAsia="Calibri" w:hAnsi="Calibri" w:cs="Times New Roman"/>
          <w:b/>
        </w:rPr>
        <w:t>OF</w:t>
      </w:r>
      <w:r w:rsidRPr="00801EF7">
        <w:rPr>
          <w:rFonts w:eastAsia="Calibri" w:hAnsi="Calibri" w:cs="Times New Roman"/>
          <w:b/>
          <w:spacing w:val="40"/>
        </w:rPr>
        <w:t xml:space="preserve"> </w:t>
      </w:r>
      <w:r w:rsidRPr="00801EF7">
        <w:rPr>
          <w:rFonts w:eastAsia="Calibri" w:hAnsi="Calibri" w:cs="Times New Roman"/>
          <w:b/>
          <w:spacing w:val="-1"/>
        </w:rPr>
        <w:t>THE</w:t>
      </w:r>
      <w:r w:rsidRPr="00801EF7">
        <w:rPr>
          <w:rFonts w:eastAsia="Calibri" w:hAnsi="Calibri" w:cs="Times New Roman"/>
          <w:b/>
          <w:spacing w:val="43"/>
        </w:rPr>
        <w:t xml:space="preserve"> </w:t>
      </w:r>
      <w:r w:rsidRPr="00801EF7">
        <w:rPr>
          <w:rFonts w:eastAsia="Calibri" w:hAnsi="Calibri" w:cs="Times New Roman"/>
          <w:b/>
          <w:spacing w:val="-1"/>
        </w:rPr>
        <w:t>BOROUGH</w:t>
      </w:r>
      <w:r w:rsidRPr="00801EF7">
        <w:rPr>
          <w:rFonts w:eastAsia="Calibri" w:hAnsi="Calibri" w:cs="Times New Roman"/>
          <w:b/>
        </w:rPr>
        <w:t xml:space="preserve"> OF</w:t>
      </w:r>
      <w:r w:rsidRPr="00801EF7">
        <w:rPr>
          <w:rFonts w:eastAsia="Calibri" w:hAnsi="Calibri" w:cs="Times New Roman"/>
          <w:b/>
          <w:spacing w:val="-1"/>
        </w:rPr>
        <w:t xml:space="preserve"> BLOOMINGDALE</w:t>
      </w:r>
    </w:p>
    <w:p w14:paraId="29869EEC" w14:textId="77777777" w:rsidR="00286C0A" w:rsidRPr="00286C0A" w:rsidRDefault="00286C0A" w:rsidP="00286C0A">
      <w:pPr>
        <w:spacing w:after="0" w:line="240" w:lineRule="auto"/>
        <w:jc w:val="both"/>
        <w:rPr>
          <w:rFonts w:cs="Times New Roman"/>
          <w:b/>
          <w:szCs w:val="24"/>
        </w:rPr>
      </w:pPr>
    </w:p>
    <w:p w14:paraId="2C8B9A0E" w14:textId="2223148B" w:rsidR="00286C0A" w:rsidRPr="00286C0A" w:rsidRDefault="00286C0A" w:rsidP="00286C0A">
      <w:pPr>
        <w:spacing w:after="0" w:line="240" w:lineRule="auto"/>
        <w:jc w:val="both"/>
        <w:rPr>
          <w:rFonts w:eastAsia="Times New Roman" w:cs="Times New Roman"/>
          <w:bCs/>
          <w:szCs w:val="24"/>
        </w:rPr>
      </w:pPr>
      <w:r w:rsidRPr="00286C0A">
        <w:rPr>
          <w:rFonts w:eastAsia="Times New Roman" w:cs="Times New Roman"/>
          <w:b/>
          <w:bCs/>
          <w:szCs w:val="24"/>
        </w:rPr>
        <w:t>NOTICE IS HEREBY GIVEN</w:t>
      </w:r>
      <w:r w:rsidRPr="00286C0A">
        <w:rPr>
          <w:rFonts w:eastAsia="Times New Roman" w:cs="Times New Roman"/>
          <w:bCs/>
          <w:szCs w:val="24"/>
        </w:rPr>
        <w:t xml:space="preserve">, that the above Ordinance was introduced and passed on first reading at an Official Meeting of the Governing Body of the Borough of Bloomingdale, </w:t>
      </w:r>
      <w:r w:rsidRPr="00286C0A">
        <w:rPr>
          <w:rFonts w:eastAsia="Calibri"/>
          <w:bCs/>
          <w:szCs w:val="24"/>
        </w:rPr>
        <w:t>County of Passaic, State of New Jersey</w:t>
      </w:r>
      <w:r w:rsidRPr="00286C0A">
        <w:rPr>
          <w:rFonts w:eastAsia="Times New Roman" w:cs="Times New Roman"/>
          <w:bCs/>
          <w:szCs w:val="24"/>
        </w:rPr>
        <w:t xml:space="preserve"> held in the Municipal Building on January </w:t>
      </w:r>
      <w:r w:rsidR="00801EF7">
        <w:rPr>
          <w:rFonts w:eastAsia="Times New Roman" w:cs="Times New Roman"/>
          <w:bCs/>
          <w:szCs w:val="24"/>
        </w:rPr>
        <w:t>6</w:t>
      </w:r>
      <w:r w:rsidRPr="00286C0A">
        <w:rPr>
          <w:rFonts w:eastAsia="Times New Roman" w:cs="Times New Roman"/>
          <w:bCs/>
          <w:szCs w:val="24"/>
        </w:rPr>
        <w:t>, 202</w:t>
      </w:r>
      <w:r w:rsidR="00801EF7">
        <w:rPr>
          <w:rFonts w:eastAsia="Times New Roman" w:cs="Times New Roman"/>
          <w:bCs/>
          <w:szCs w:val="24"/>
        </w:rPr>
        <w:t>6</w:t>
      </w:r>
      <w:r w:rsidRPr="00286C0A">
        <w:rPr>
          <w:rFonts w:eastAsia="Times New Roman" w:cs="Times New Roman"/>
          <w:bCs/>
          <w:szCs w:val="24"/>
        </w:rPr>
        <w:t xml:space="preserve">, and the same shall come up for final passage at an Official Meeting of the Governing Body to be held on </w:t>
      </w:r>
      <w:r w:rsidR="00801EF7">
        <w:rPr>
          <w:rFonts w:eastAsia="Times New Roman" w:cs="Times New Roman"/>
          <w:bCs/>
          <w:szCs w:val="24"/>
        </w:rPr>
        <w:t>January 20</w:t>
      </w:r>
      <w:r w:rsidRPr="00286C0A">
        <w:rPr>
          <w:rFonts w:eastAsia="Times New Roman" w:cs="Times New Roman"/>
          <w:bCs/>
          <w:szCs w:val="24"/>
        </w:rPr>
        <w:t>, 202</w:t>
      </w:r>
      <w:r w:rsidR="00801EF7">
        <w:rPr>
          <w:rFonts w:eastAsia="Times New Roman" w:cs="Times New Roman"/>
          <w:bCs/>
          <w:szCs w:val="24"/>
        </w:rPr>
        <w:t>6</w:t>
      </w:r>
      <w:r w:rsidRPr="00286C0A">
        <w:rPr>
          <w:rFonts w:eastAsia="Times New Roman" w:cs="Times New Roman"/>
          <w:bCs/>
          <w:szCs w:val="24"/>
        </w:rPr>
        <w:t xml:space="preserve"> at 7PM, at which time any persons interested shall be given the opportunity to be heard concerning said Ordinance. Copies of this Ordinance are available in the Clerk’s Office located at 101 Hamburg Turnpike, Bloomingdale, New Jersey.  </w:t>
      </w:r>
    </w:p>
    <w:p w14:paraId="02A1C828" w14:textId="77777777" w:rsidR="00286C0A" w:rsidRPr="00286C0A" w:rsidRDefault="00286C0A" w:rsidP="00286C0A">
      <w:pPr>
        <w:spacing w:after="0" w:line="240" w:lineRule="auto"/>
        <w:jc w:val="both"/>
        <w:rPr>
          <w:rFonts w:eastAsia="Times New Roman" w:cs="Times New Roman"/>
          <w:bCs/>
          <w:szCs w:val="24"/>
        </w:rPr>
      </w:pPr>
      <w:r w:rsidRPr="00286C0A">
        <w:rPr>
          <w:rFonts w:eastAsia="Calibri" w:cs="Times New Roman"/>
          <w:bCs/>
          <w:szCs w:val="24"/>
        </w:rPr>
        <w:br/>
      </w:r>
    </w:p>
    <w:p w14:paraId="13885B6F" w14:textId="11D828B0" w:rsidR="00286C0A" w:rsidRPr="00286C0A" w:rsidRDefault="00286C0A" w:rsidP="00286C0A">
      <w:pPr>
        <w:spacing w:after="0" w:line="240" w:lineRule="auto"/>
        <w:jc w:val="both"/>
        <w:rPr>
          <w:rFonts w:cs="Times New Roman"/>
          <w:b/>
          <w:bCs/>
          <w:szCs w:val="24"/>
        </w:rPr>
      </w:pPr>
      <w:r w:rsidRPr="00286C0A">
        <w:rPr>
          <w:rFonts w:cs="Times New Roman"/>
          <w:b/>
          <w:bCs/>
          <w:szCs w:val="24"/>
        </w:rPr>
        <w:t>Purpose/Summary of Ordinance No. 1-202</w:t>
      </w:r>
      <w:r w:rsidR="00801EF7">
        <w:rPr>
          <w:rFonts w:cs="Times New Roman"/>
          <w:b/>
          <w:bCs/>
          <w:szCs w:val="24"/>
        </w:rPr>
        <w:t>6</w:t>
      </w:r>
      <w:r w:rsidRPr="00286C0A">
        <w:rPr>
          <w:rFonts w:cs="Times New Roman"/>
          <w:b/>
          <w:bCs/>
          <w:szCs w:val="24"/>
        </w:rPr>
        <w:t>:</w:t>
      </w:r>
    </w:p>
    <w:p w14:paraId="71286DF1" w14:textId="17C0E4EF" w:rsidR="00286C0A" w:rsidRPr="00286C0A" w:rsidRDefault="00801EF7" w:rsidP="00286C0A">
      <w:pPr>
        <w:spacing w:after="0" w:line="240" w:lineRule="auto"/>
        <w:ind w:left="720"/>
        <w:jc w:val="both"/>
        <w:rPr>
          <w:rFonts w:cs="Times New Roman"/>
          <w:bCs/>
          <w:szCs w:val="24"/>
        </w:rPr>
      </w:pPr>
      <w:r>
        <w:rPr>
          <w:rFonts w:cs="Times New Roman"/>
          <w:bCs/>
          <w:szCs w:val="24"/>
        </w:rPr>
        <w:t xml:space="preserve">The ordinance establishes a range of salaries for certain Borough positions. </w:t>
      </w:r>
      <w:r>
        <w:rPr>
          <w:spacing w:val="-1"/>
        </w:rPr>
        <w:t>The</w:t>
      </w:r>
      <w:r>
        <w:rPr>
          <w:spacing w:val="3"/>
        </w:rPr>
        <w:t xml:space="preserve"> </w:t>
      </w:r>
      <w:r>
        <w:rPr>
          <w:spacing w:val="-1"/>
        </w:rPr>
        <w:t>proposed</w:t>
      </w:r>
      <w:r>
        <w:rPr>
          <w:spacing w:val="4"/>
        </w:rPr>
        <w:t xml:space="preserve"> </w:t>
      </w:r>
      <w:r>
        <w:rPr>
          <w:spacing w:val="-1"/>
        </w:rPr>
        <w:t>ordinance</w:t>
      </w:r>
      <w:r>
        <w:rPr>
          <w:spacing w:val="3"/>
        </w:rPr>
        <w:t xml:space="preserve"> </w:t>
      </w:r>
      <w:r>
        <w:rPr>
          <w:spacing w:val="-1"/>
        </w:rPr>
        <w:t>categorizes</w:t>
      </w:r>
      <w:r>
        <w:rPr>
          <w:spacing w:val="5"/>
        </w:rPr>
        <w:t xml:space="preserve"> </w:t>
      </w:r>
      <w:r>
        <w:t>positions</w:t>
      </w:r>
      <w:r>
        <w:rPr>
          <w:spacing w:val="5"/>
        </w:rPr>
        <w:t xml:space="preserve"> </w:t>
      </w:r>
      <w:r>
        <w:t>by</w:t>
      </w:r>
      <w:r>
        <w:rPr>
          <w:spacing w:val="4"/>
        </w:rPr>
        <w:t xml:space="preserve"> </w:t>
      </w:r>
      <w:r>
        <w:rPr>
          <w:spacing w:val="-1"/>
        </w:rPr>
        <w:t>department</w:t>
      </w:r>
      <w:r>
        <w:rPr>
          <w:spacing w:val="5"/>
        </w:rPr>
        <w:t xml:space="preserve"> </w:t>
      </w:r>
      <w:r>
        <w:t>or</w:t>
      </w:r>
      <w:r>
        <w:rPr>
          <w:spacing w:val="4"/>
        </w:rPr>
        <w:t xml:space="preserve"> </w:t>
      </w:r>
      <w:r>
        <w:rPr>
          <w:spacing w:val="-1"/>
        </w:rPr>
        <w:t>part/full-time</w:t>
      </w:r>
      <w:r w:rsidR="001F61C8">
        <w:rPr>
          <w:spacing w:val="-1"/>
        </w:rPr>
        <w:t xml:space="preserve"> </w:t>
      </w:r>
      <w:r>
        <w:rPr>
          <w:spacing w:val="-1"/>
        </w:rPr>
        <w:t>status</w:t>
      </w:r>
      <w:r>
        <w:rPr>
          <w:spacing w:val="2"/>
        </w:rPr>
        <w:t xml:space="preserve"> </w:t>
      </w:r>
      <w:r>
        <w:rPr>
          <w:spacing w:val="-1"/>
        </w:rPr>
        <w:t>and</w:t>
      </w:r>
      <w:r>
        <w:rPr>
          <w:spacing w:val="2"/>
        </w:rPr>
        <w:t xml:space="preserve"> </w:t>
      </w:r>
      <w:r>
        <w:t>thus</w:t>
      </w:r>
      <w:r>
        <w:rPr>
          <w:spacing w:val="2"/>
        </w:rPr>
        <w:t xml:space="preserve"> </w:t>
      </w:r>
      <w:r>
        <w:rPr>
          <w:spacing w:val="-1"/>
        </w:rPr>
        <w:t>may</w:t>
      </w:r>
      <w:r>
        <w:rPr>
          <w:spacing w:val="2"/>
        </w:rPr>
        <w:t xml:space="preserve"> </w:t>
      </w:r>
      <w:r>
        <w:rPr>
          <w:spacing w:val="-1"/>
        </w:rPr>
        <w:t>reflect</w:t>
      </w:r>
      <w:r>
        <w:rPr>
          <w:spacing w:val="2"/>
        </w:rPr>
        <w:t xml:space="preserve"> </w:t>
      </w:r>
      <w:r>
        <w:t>a</w:t>
      </w:r>
      <w:r>
        <w:rPr>
          <w:spacing w:val="1"/>
        </w:rPr>
        <w:t xml:space="preserve"> </w:t>
      </w:r>
      <w:r>
        <w:rPr>
          <w:spacing w:val="-1"/>
        </w:rPr>
        <w:t>higher</w:t>
      </w:r>
      <w:r>
        <w:rPr>
          <w:spacing w:val="1"/>
        </w:rPr>
        <w:t xml:space="preserve"> </w:t>
      </w:r>
      <w:r>
        <w:rPr>
          <w:spacing w:val="-1"/>
        </w:rPr>
        <w:t>maximum</w:t>
      </w:r>
      <w:r>
        <w:rPr>
          <w:spacing w:val="2"/>
        </w:rPr>
        <w:t xml:space="preserve"> </w:t>
      </w:r>
      <w:r>
        <w:rPr>
          <w:spacing w:val="-1"/>
        </w:rPr>
        <w:t>salary</w:t>
      </w:r>
      <w:r>
        <w:rPr>
          <w:spacing w:val="2"/>
        </w:rPr>
        <w:t xml:space="preserve"> </w:t>
      </w:r>
      <w:r>
        <w:t>range</w:t>
      </w:r>
      <w:r>
        <w:rPr>
          <w:spacing w:val="1"/>
        </w:rPr>
        <w:t xml:space="preserve"> </w:t>
      </w:r>
      <w:r>
        <w:rPr>
          <w:spacing w:val="-1"/>
        </w:rPr>
        <w:t>for</w:t>
      </w:r>
      <w:r>
        <w:rPr>
          <w:spacing w:val="1"/>
        </w:rPr>
        <w:t xml:space="preserve"> </w:t>
      </w:r>
      <w:r>
        <w:t>some</w:t>
      </w:r>
      <w:r>
        <w:rPr>
          <w:spacing w:val="1"/>
        </w:rPr>
        <w:t xml:space="preserve"> </w:t>
      </w:r>
      <w:r>
        <w:t>part-time</w:t>
      </w:r>
      <w:r>
        <w:rPr>
          <w:spacing w:val="1"/>
        </w:rPr>
        <w:t xml:space="preserve"> </w:t>
      </w:r>
      <w:r>
        <w:t>or</w:t>
      </w:r>
      <w:r>
        <w:rPr>
          <w:spacing w:val="1"/>
        </w:rPr>
        <w:t xml:space="preserve"> </w:t>
      </w:r>
      <w:r>
        <w:rPr>
          <w:spacing w:val="-1"/>
        </w:rPr>
        <w:t>non-contractual</w:t>
      </w:r>
      <w:r>
        <w:rPr>
          <w:spacing w:val="80"/>
        </w:rPr>
        <w:t xml:space="preserve"> </w:t>
      </w:r>
      <w:r>
        <w:t xml:space="preserve">positions </w:t>
      </w:r>
      <w:r>
        <w:rPr>
          <w:spacing w:val="-1"/>
        </w:rPr>
        <w:t xml:space="preserve">because </w:t>
      </w:r>
      <w:r>
        <w:t>of</w:t>
      </w:r>
      <w:r>
        <w:rPr>
          <w:spacing w:val="-1"/>
        </w:rPr>
        <w:t xml:space="preserve"> </w:t>
      </w:r>
      <w:r>
        <w:t>other</w:t>
      </w:r>
      <w:r>
        <w:rPr>
          <w:spacing w:val="-1"/>
        </w:rPr>
        <w:t xml:space="preserve"> </w:t>
      </w:r>
      <w:r>
        <w:t xml:space="preserve">positions </w:t>
      </w:r>
      <w:r>
        <w:rPr>
          <w:spacing w:val="-1"/>
        </w:rPr>
        <w:t>comprising</w:t>
      </w:r>
      <w:r>
        <w:t xml:space="preserve"> </w:t>
      </w:r>
      <w:r>
        <w:rPr>
          <w:spacing w:val="-1"/>
        </w:rPr>
        <w:t>the category.</w:t>
      </w:r>
      <w:r>
        <w:rPr>
          <w:spacing w:val="-1"/>
        </w:rPr>
        <w:t xml:space="preserve"> </w:t>
      </w:r>
      <w:r>
        <w:rPr>
          <w:rFonts w:cs="Times New Roman"/>
          <w:bCs/>
          <w:szCs w:val="24"/>
        </w:rPr>
        <w:t xml:space="preserve">This ordinance will add the position of part time </w:t>
      </w:r>
      <w:r w:rsidR="001F61C8">
        <w:rPr>
          <w:rFonts w:cs="Times New Roman"/>
          <w:bCs/>
          <w:szCs w:val="24"/>
        </w:rPr>
        <w:t>receptionist;</w:t>
      </w:r>
      <w:r>
        <w:rPr>
          <w:rFonts w:cs="Times New Roman"/>
          <w:bCs/>
          <w:szCs w:val="24"/>
        </w:rPr>
        <w:t xml:space="preserve"> salaries will be paid semi-monthly and will remove the option to receive vacation pay. </w:t>
      </w:r>
    </w:p>
    <w:p w14:paraId="370EA55F" w14:textId="77777777" w:rsidR="00286C0A" w:rsidRPr="00286C0A" w:rsidRDefault="00286C0A" w:rsidP="00286C0A">
      <w:pPr>
        <w:spacing w:after="0" w:line="240" w:lineRule="auto"/>
        <w:ind w:left="720"/>
        <w:jc w:val="both"/>
        <w:rPr>
          <w:rFonts w:cs="Times New Roman"/>
          <w:bCs/>
          <w:szCs w:val="24"/>
        </w:rPr>
      </w:pPr>
    </w:p>
    <w:p w14:paraId="51084BDC" w14:textId="606D53ED" w:rsidR="00286C0A" w:rsidRPr="00286C0A" w:rsidRDefault="00286C0A" w:rsidP="00801EF7">
      <w:pPr>
        <w:spacing w:after="0" w:line="240" w:lineRule="auto"/>
        <w:rPr>
          <w:rFonts w:cs="Times New Roman"/>
          <w:bCs/>
          <w:szCs w:val="24"/>
        </w:rPr>
      </w:pPr>
      <w:r w:rsidRPr="00286C0A">
        <w:rPr>
          <w:rFonts w:cs="Times New Roman"/>
          <w:bCs/>
          <w:szCs w:val="24"/>
        </w:rPr>
        <w:t>Breeanna Smith, RMC</w:t>
      </w:r>
    </w:p>
    <w:p w14:paraId="465316C1" w14:textId="1CC47432" w:rsidR="00286C0A" w:rsidRPr="00286C0A" w:rsidRDefault="00286C0A" w:rsidP="00286C0A">
      <w:pPr>
        <w:spacing w:after="0" w:line="240" w:lineRule="auto"/>
        <w:rPr>
          <w:rFonts w:cs="Times New Roman"/>
          <w:szCs w:val="24"/>
        </w:rPr>
      </w:pPr>
      <w:r w:rsidRPr="00286C0A">
        <w:rPr>
          <w:rFonts w:cs="Times New Roman"/>
          <w:bCs/>
          <w:szCs w:val="24"/>
        </w:rPr>
        <w:t>Municipal Clerk</w:t>
      </w:r>
    </w:p>
    <w:p w14:paraId="38F87C59" w14:textId="77777777" w:rsidR="00286C0A" w:rsidRDefault="00286C0A" w:rsidP="005924CF">
      <w:pPr>
        <w:ind w:left="720"/>
        <w:jc w:val="both"/>
        <w:rPr>
          <w:szCs w:val="24"/>
        </w:rPr>
      </w:pPr>
    </w:p>
    <w:p w14:paraId="5939184B" w14:textId="6EA7240B" w:rsidR="00387D39" w:rsidRPr="00801EF7" w:rsidRDefault="00C17281" w:rsidP="00801EF7">
      <w:pPr>
        <w:jc w:val="both"/>
        <w:rPr>
          <w:i/>
          <w:iCs/>
          <w:szCs w:val="24"/>
        </w:rPr>
      </w:pPr>
      <w:r w:rsidRPr="00801EF7">
        <w:rPr>
          <w:i/>
          <w:iCs/>
          <w:szCs w:val="24"/>
        </w:rPr>
        <w:t>Published in the Herald News &amp; Borough Website</w:t>
      </w:r>
    </w:p>
    <w:p w14:paraId="26BFE2E2" w14:textId="7FDF12FC" w:rsidR="00387D39" w:rsidRPr="00387D39" w:rsidRDefault="00387D39" w:rsidP="005924CF">
      <w:pPr>
        <w:ind w:left="720"/>
        <w:jc w:val="both"/>
        <w:rPr>
          <w:szCs w:val="24"/>
        </w:rPr>
      </w:pPr>
    </w:p>
    <w:p w14:paraId="0CDC4121" w14:textId="77777777" w:rsidR="00387D39" w:rsidRPr="005924CF" w:rsidRDefault="00387D39" w:rsidP="005924CF">
      <w:pPr>
        <w:ind w:left="720"/>
        <w:jc w:val="both"/>
        <w:rPr>
          <w:sz w:val="28"/>
          <w:szCs w:val="24"/>
        </w:rPr>
      </w:pPr>
    </w:p>
    <w:sectPr w:rsidR="00387D39" w:rsidRPr="005924CF" w:rsidSect="00743F9D">
      <w:footerReference w:type="default" r:id="rId10"/>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BC7C" w14:textId="77777777" w:rsidR="0038562F" w:rsidRDefault="0038562F" w:rsidP="00AC7359">
      <w:pPr>
        <w:spacing w:after="0" w:line="240" w:lineRule="auto"/>
      </w:pPr>
      <w:r>
        <w:separator/>
      </w:r>
    </w:p>
  </w:endnote>
  <w:endnote w:type="continuationSeparator" w:id="0">
    <w:p w14:paraId="4305E8A7" w14:textId="77777777" w:rsidR="0038562F" w:rsidRDefault="0038562F" w:rsidP="00AC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B85C" w14:textId="77777777" w:rsidR="00AC7359" w:rsidRPr="006A1975" w:rsidRDefault="00AC7359" w:rsidP="00FF05F6">
    <w:pPr>
      <w:jc w:val="center"/>
      <w:rPr>
        <w:b/>
        <w:color w:val="2F5496" w:themeColor="accent5" w:themeShade="BF"/>
        <w:sz w:val="36"/>
      </w:rPr>
    </w:pPr>
    <w:r w:rsidRPr="006A1975">
      <w:rPr>
        <w:b/>
        <w:color w:val="2F5496" w:themeColor="accent5" w:themeShade="BF"/>
        <w:sz w:val="36"/>
      </w:rPr>
      <w:t>www.bloomingdalenj.net</w:t>
    </w:r>
  </w:p>
  <w:p w14:paraId="1A2F94BD" w14:textId="77777777" w:rsidR="00AC7359" w:rsidRDefault="00AC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A3E3" w14:textId="77777777" w:rsidR="0038562F" w:rsidRDefault="0038562F" w:rsidP="00AC7359">
      <w:pPr>
        <w:spacing w:after="0" w:line="240" w:lineRule="auto"/>
      </w:pPr>
      <w:r>
        <w:separator/>
      </w:r>
    </w:p>
  </w:footnote>
  <w:footnote w:type="continuationSeparator" w:id="0">
    <w:p w14:paraId="33DAC17A" w14:textId="77777777" w:rsidR="0038562F" w:rsidRDefault="0038562F" w:rsidP="00AC7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3BA1"/>
    <w:multiLevelType w:val="hybridMultilevel"/>
    <w:tmpl w:val="859C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F3742"/>
    <w:multiLevelType w:val="hybridMultilevel"/>
    <w:tmpl w:val="4160914C"/>
    <w:lvl w:ilvl="0" w:tplc="BBF673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AA4FC4"/>
    <w:multiLevelType w:val="hybridMultilevel"/>
    <w:tmpl w:val="AEB26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127A6C"/>
    <w:multiLevelType w:val="hybridMultilevel"/>
    <w:tmpl w:val="B594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D41E4"/>
    <w:multiLevelType w:val="hybridMultilevel"/>
    <w:tmpl w:val="2F3E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963742">
    <w:abstractNumId w:val="4"/>
  </w:num>
  <w:num w:numId="2" w16cid:durableId="432019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613181">
    <w:abstractNumId w:val="0"/>
  </w:num>
  <w:num w:numId="4" w16cid:durableId="335808196">
    <w:abstractNumId w:val="1"/>
  </w:num>
  <w:num w:numId="5" w16cid:durableId="927926531">
    <w:abstractNumId w:val="2"/>
  </w:num>
  <w:num w:numId="6" w16cid:durableId="1098257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5"/>
    <w:rsid w:val="00011E7E"/>
    <w:rsid w:val="00054BE0"/>
    <w:rsid w:val="000625AB"/>
    <w:rsid w:val="0008466E"/>
    <w:rsid w:val="00186D63"/>
    <w:rsid w:val="001A696E"/>
    <w:rsid w:val="001F61C8"/>
    <w:rsid w:val="00204A31"/>
    <w:rsid w:val="00266963"/>
    <w:rsid w:val="00286C0A"/>
    <w:rsid w:val="00297EB3"/>
    <w:rsid w:val="002E7662"/>
    <w:rsid w:val="003002A8"/>
    <w:rsid w:val="00314B44"/>
    <w:rsid w:val="0031597F"/>
    <w:rsid w:val="0038562F"/>
    <w:rsid w:val="00387D39"/>
    <w:rsid w:val="003F29CB"/>
    <w:rsid w:val="00412B14"/>
    <w:rsid w:val="00421F92"/>
    <w:rsid w:val="00424BB3"/>
    <w:rsid w:val="004579E4"/>
    <w:rsid w:val="00470186"/>
    <w:rsid w:val="00522815"/>
    <w:rsid w:val="005300F3"/>
    <w:rsid w:val="00565FCF"/>
    <w:rsid w:val="00573585"/>
    <w:rsid w:val="005924CF"/>
    <w:rsid w:val="005D27DF"/>
    <w:rsid w:val="006359C5"/>
    <w:rsid w:val="00643752"/>
    <w:rsid w:val="00655E36"/>
    <w:rsid w:val="00657AEC"/>
    <w:rsid w:val="006A1975"/>
    <w:rsid w:val="006D760B"/>
    <w:rsid w:val="00702239"/>
    <w:rsid w:val="00724D2B"/>
    <w:rsid w:val="00743F9D"/>
    <w:rsid w:val="0075526F"/>
    <w:rsid w:val="00775043"/>
    <w:rsid w:val="00777BA3"/>
    <w:rsid w:val="007B2CC1"/>
    <w:rsid w:val="00801EF7"/>
    <w:rsid w:val="00833C8B"/>
    <w:rsid w:val="008C3E90"/>
    <w:rsid w:val="008E15CD"/>
    <w:rsid w:val="008F629C"/>
    <w:rsid w:val="00982656"/>
    <w:rsid w:val="00991048"/>
    <w:rsid w:val="009B4D4B"/>
    <w:rsid w:val="009E7F62"/>
    <w:rsid w:val="00A10FC4"/>
    <w:rsid w:val="00A163F2"/>
    <w:rsid w:val="00AC08E5"/>
    <w:rsid w:val="00AC7359"/>
    <w:rsid w:val="00AD4A0D"/>
    <w:rsid w:val="00AE4C7E"/>
    <w:rsid w:val="00B4798B"/>
    <w:rsid w:val="00B62449"/>
    <w:rsid w:val="00B724A7"/>
    <w:rsid w:val="00B758BC"/>
    <w:rsid w:val="00B971AE"/>
    <w:rsid w:val="00BD560E"/>
    <w:rsid w:val="00C14F8F"/>
    <w:rsid w:val="00C15AAC"/>
    <w:rsid w:val="00C16BF9"/>
    <w:rsid w:val="00C17281"/>
    <w:rsid w:val="00C27413"/>
    <w:rsid w:val="00C3508E"/>
    <w:rsid w:val="00C56509"/>
    <w:rsid w:val="00CD6A5E"/>
    <w:rsid w:val="00D35EA5"/>
    <w:rsid w:val="00D47219"/>
    <w:rsid w:val="00D54594"/>
    <w:rsid w:val="00D81B11"/>
    <w:rsid w:val="00DC6E23"/>
    <w:rsid w:val="00DC754A"/>
    <w:rsid w:val="00E02EE0"/>
    <w:rsid w:val="00EA59E1"/>
    <w:rsid w:val="00ED43C7"/>
    <w:rsid w:val="00ED5675"/>
    <w:rsid w:val="00F67F8C"/>
    <w:rsid w:val="00FC4018"/>
    <w:rsid w:val="00FE3C98"/>
    <w:rsid w:val="00FF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3F0F"/>
  <w15:chartTrackingRefBased/>
  <w15:docId w15:val="{CDA541A8-B294-42ED-A007-AB2E059C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3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585"/>
    <w:pPr>
      <w:ind w:left="720"/>
      <w:contextualSpacing/>
    </w:pPr>
  </w:style>
  <w:style w:type="character" w:styleId="IntenseReference">
    <w:name w:val="Intense Reference"/>
    <w:basedOn w:val="DefaultParagraphFont"/>
    <w:uiPriority w:val="32"/>
    <w:qFormat/>
    <w:rsid w:val="005300F3"/>
    <w:rPr>
      <w:b/>
      <w:bCs/>
      <w:smallCaps/>
      <w:color w:val="5B9BD5" w:themeColor="accent1"/>
      <w:spacing w:val="5"/>
    </w:rPr>
  </w:style>
  <w:style w:type="paragraph" w:styleId="Header">
    <w:name w:val="header"/>
    <w:basedOn w:val="Normal"/>
    <w:link w:val="HeaderChar"/>
    <w:uiPriority w:val="99"/>
    <w:unhideWhenUsed/>
    <w:rsid w:val="00AC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359"/>
  </w:style>
  <w:style w:type="paragraph" w:styleId="Footer">
    <w:name w:val="footer"/>
    <w:basedOn w:val="Normal"/>
    <w:link w:val="FooterChar"/>
    <w:uiPriority w:val="99"/>
    <w:unhideWhenUsed/>
    <w:rsid w:val="00AC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359"/>
  </w:style>
  <w:style w:type="character" w:customStyle="1" w:styleId="Heading1Char">
    <w:name w:val="Heading 1 Char"/>
    <w:basedOn w:val="DefaultParagraphFont"/>
    <w:link w:val="Heading1"/>
    <w:uiPriority w:val="9"/>
    <w:rsid w:val="00AC735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E7662"/>
    <w:rPr>
      <w:color w:val="0563C1" w:themeColor="hyperlink"/>
      <w:u w:val="single"/>
    </w:rPr>
  </w:style>
  <w:style w:type="character" w:styleId="UnresolvedMention">
    <w:name w:val="Unresolved Mention"/>
    <w:basedOn w:val="DefaultParagraphFont"/>
    <w:uiPriority w:val="99"/>
    <w:semiHidden/>
    <w:unhideWhenUsed/>
    <w:rsid w:val="0006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5132">
      <w:bodyDiv w:val="1"/>
      <w:marLeft w:val="0"/>
      <w:marRight w:val="0"/>
      <w:marTop w:val="0"/>
      <w:marBottom w:val="0"/>
      <w:divBdr>
        <w:top w:val="none" w:sz="0" w:space="0" w:color="auto"/>
        <w:left w:val="none" w:sz="0" w:space="0" w:color="auto"/>
        <w:bottom w:val="none" w:sz="0" w:space="0" w:color="auto"/>
        <w:right w:val="none" w:sz="0" w:space="0" w:color="auto"/>
      </w:divBdr>
      <w:divsChild>
        <w:div w:id="1326081739">
          <w:marLeft w:val="0"/>
          <w:marRight w:val="0"/>
          <w:marTop w:val="0"/>
          <w:marBottom w:val="0"/>
          <w:divBdr>
            <w:top w:val="none" w:sz="0" w:space="0" w:color="auto"/>
            <w:left w:val="none" w:sz="0" w:space="0" w:color="auto"/>
            <w:bottom w:val="none" w:sz="0" w:space="0" w:color="auto"/>
            <w:right w:val="none" w:sz="0" w:space="0" w:color="auto"/>
          </w:divBdr>
        </w:div>
        <w:div w:id="1606496976">
          <w:marLeft w:val="0"/>
          <w:marRight w:val="0"/>
          <w:marTop w:val="120"/>
          <w:marBottom w:val="0"/>
          <w:divBdr>
            <w:top w:val="none" w:sz="0" w:space="0" w:color="auto"/>
            <w:left w:val="none" w:sz="0" w:space="0" w:color="auto"/>
            <w:bottom w:val="none" w:sz="0" w:space="0" w:color="auto"/>
            <w:right w:val="none" w:sz="0" w:space="0" w:color="auto"/>
          </w:divBdr>
          <w:divsChild>
            <w:div w:id="350688844">
              <w:marLeft w:val="0"/>
              <w:marRight w:val="0"/>
              <w:marTop w:val="0"/>
              <w:marBottom w:val="0"/>
              <w:divBdr>
                <w:top w:val="none" w:sz="0" w:space="0" w:color="auto"/>
                <w:left w:val="none" w:sz="0" w:space="0" w:color="auto"/>
                <w:bottom w:val="none" w:sz="0" w:space="0" w:color="auto"/>
                <w:right w:val="none" w:sz="0" w:space="0" w:color="auto"/>
              </w:divBdr>
            </w:div>
          </w:divsChild>
        </w:div>
        <w:div w:id="837116483">
          <w:marLeft w:val="0"/>
          <w:marRight w:val="0"/>
          <w:marTop w:val="120"/>
          <w:marBottom w:val="0"/>
          <w:divBdr>
            <w:top w:val="none" w:sz="0" w:space="0" w:color="auto"/>
            <w:left w:val="none" w:sz="0" w:space="0" w:color="auto"/>
            <w:bottom w:val="none" w:sz="0" w:space="0" w:color="auto"/>
            <w:right w:val="none" w:sz="0" w:space="0" w:color="auto"/>
          </w:divBdr>
          <w:divsChild>
            <w:div w:id="2065834735">
              <w:marLeft w:val="0"/>
              <w:marRight w:val="0"/>
              <w:marTop w:val="0"/>
              <w:marBottom w:val="0"/>
              <w:divBdr>
                <w:top w:val="none" w:sz="0" w:space="0" w:color="auto"/>
                <w:left w:val="none" w:sz="0" w:space="0" w:color="auto"/>
                <w:bottom w:val="none" w:sz="0" w:space="0" w:color="auto"/>
                <w:right w:val="none" w:sz="0" w:space="0" w:color="auto"/>
              </w:divBdr>
            </w:div>
          </w:divsChild>
        </w:div>
        <w:div w:id="1465544487">
          <w:marLeft w:val="0"/>
          <w:marRight w:val="0"/>
          <w:marTop w:val="120"/>
          <w:marBottom w:val="0"/>
          <w:divBdr>
            <w:top w:val="none" w:sz="0" w:space="0" w:color="auto"/>
            <w:left w:val="none" w:sz="0" w:space="0" w:color="auto"/>
            <w:bottom w:val="none" w:sz="0" w:space="0" w:color="auto"/>
            <w:right w:val="none" w:sz="0" w:space="0" w:color="auto"/>
          </w:divBdr>
          <w:divsChild>
            <w:div w:id="1535456994">
              <w:marLeft w:val="0"/>
              <w:marRight w:val="0"/>
              <w:marTop w:val="0"/>
              <w:marBottom w:val="0"/>
              <w:divBdr>
                <w:top w:val="none" w:sz="0" w:space="0" w:color="auto"/>
                <w:left w:val="none" w:sz="0" w:space="0" w:color="auto"/>
                <w:bottom w:val="none" w:sz="0" w:space="0" w:color="auto"/>
                <w:right w:val="none" w:sz="0" w:space="0" w:color="auto"/>
              </w:divBdr>
            </w:div>
            <w:div w:id="129520642">
              <w:marLeft w:val="0"/>
              <w:marRight w:val="0"/>
              <w:marTop w:val="0"/>
              <w:marBottom w:val="0"/>
              <w:divBdr>
                <w:top w:val="none" w:sz="0" w:space="0" w:color="auto"/>
                <w:left w:val="none" w:sz="0" w:space="0" w:color="auto"/>
                <w:bottom w:val="none" w:sz="0" w:space="0" w:color="auto"/>
                <w:right w:val="none" w:sz="0" w:space="0" w:color="auto"/>
              </w:divBdr>
            </w:div>
            <w:div w:id="16797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mith@bloomingdalen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A5B4-B1FB-47D2-954E-B1E8D963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241</Words>
  <Characters>1576</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5</cp:revision>
  <cp:lastPrinted>2023-01-11T18:10:00Z</cp:lastPrinted>
  <dcterms:created xsi:type="dcterms:W3CDTF">2026-01-05T17:05:00Z</dcterms:created>
  <dcterms:modified xsi:type="dcterms:W3CDTF">2026-01-05T18:10:00Z</dcterms:modified>
</cp:coreProperties>
</file>