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B3" w:rsidRPr="0057301A" w:rsidRDefault="007D42B3" w:rsidP="0057301A">
      <w:pPr>
        <w:spacing w:after="0" w:line="240" w:lineRule="auto"/>
        <w:jc w:val="center"/>
        <w:rPr>
          <w:rFonts w:ascii="Times New Roman" w:eastAsia="Batang" w:hAnsi="Times New Roman"/>
          <w:b/>
          <w:sz w:val="24"/>
          <w:szCs w:val="24"/>
        </w:rPr>
      </w:pPr>
      <w:r w:rsidRPr="0057301A">
        <w:rPr>
          <w:rFonts w:ascii="Times New Roman" w:eastAsia="Batang" w:hAnsi="Times New Roman"/>
          <w:b/>
          <w:sz w:val="24"/>
          <w:szCs w:val="24"/>
        </w:rPr>
        <w:t>RESOLUTION NO. 2017-1</w:t>
      </w:r>
      <w:r>
        <w:rPr>
          <w:rFonts w:ascii="Times New Roman" w:eastAsia="Batang" w:hAnsi="Times New Roman"/>
          <w:b/>
          <w:sz w:val="24"/>
          <w:szCs w:val="24"/>
        </w:rPr>
        <w:t>2</w:t>
      </w:r>
      <w:r w:rsidRPr="0057301A">
        <w:rPr>
          <w:rFonts w:ascii="Times New Roman" w:eastAsia="Batang" w:hAnsi="Times New Roman"/>
          <w:b/>
          <w:sz w:val="24"/>
          <w:szCs w:val="24"/>
        </w:rPr>
        <w:t>.</w:t>
      </w:r>
      <w:r w:rsidR="007B5D19">
        <w:rPr>
          <w:rFonts w:ascii="Times New Roman" w:eastAsia="Batang" w:hAnsi="Times New Roman"/>
          <w:b/>
          <w:sz w:val="24"/>
          <w:szCs w:val="24"/>
        </w:rPr>
        <w:t>11</w:t>
      </w:r>
    </w:p>
    <w:p w:rsidR="007D42B3" w:rsidRPr="0057301A" w:rsidRDefault="007D42B3" w:rsidP="0057301A">
      <w:pPr>
        <w:spacing w:after="0" w:line="240" w:lineRule="auto"/>
        <w:jc w:val="center"/>
        <w:rPr>
          <w:rFonts w:ascii="Times New Roman" w:eastAsia="Batang" w:hAnsi="Times New Roman"/>
          <w:b/>
          <w:sz w:val="24"/>
          <w:szCs w:val="24"/>
        </w:rPr>
      </w:pPr>
      <w:r w:rsidRPr="0057301A">
        <w:rPr>
          <w:rFonts w:ascii="Times New Roman" w:eastAsia="Batang" w:hAnsi="Times New Roman"/>
          <w:b/>
          <w:sz w:val="24"/>
          <w:szCs w:val="24"/>
        </w:rPr>
        <w:t>OF THE GOVERNING BODY</w:t>
      </w:r>
    </w:p>
    <w:p w:rsidR="007D42B3" w:rsidRPr="0057301A" w:rsidRDefault="007D42B3" w:rsidP="0057301A">
      <w:pPr>
        <w:spacing w:after="0" w:line="240" w:lineRule="auto"/>
        <w:jc w:val="center"/>
        <w:rPr>
          <w:rFonts w:ascii="Times New Roman" w:eastAsia="Batang" w:hAnsi="Times New Roman"/>
          <w:b/>
          <w:sz w:val="24"/>
          <w:szCs w:val="24"/>
          <w:u w:val="single"/>
        </w:rPr>
      </w:pPr>
      <w:r w:rsidRPr="0057301A">
        <w:rPr>
          <w:rFonts w:ascii="Times New Roman" w:eastAsia="Batang" w:hAnsi="Times New Roman"/>
          <w:b/>
          <w:sz w:val="24"/>
          <w:szCs w:val="24"/>
          <w:u w:val="single"/>
        </w:rPr>
        <w:t>OF THE BOROUGH OF BLOOMINGDALE</w:t>
      </w:r>
    </w:p>
    <w:p w:rsidR="007D42B3" w:rsidRPr="0057301A" w:rsidRDefault="007D42B3" w:rsidP="00654490">
      <w:pPr>
        <w:spacing w:line="240" w:lineRule="auto"/>
        <w:jc w:val="both"/>
        <w:rPr>
          <w:rFonts w:ascii="Times New Roman" w:eastAsia="Batang" w:hAnsi="Times New Roman"/>
          <w:b/>
          <w:sz w:val="24"/>
          <w:szCs w:val="24"/>
        </w:rPr>
      </w:pPr>
    </w:p>
    <w:p w:rsidR="007D42B3" w:rsidRPr="0057301A" w:rsidRDefault="007D42B3" w:rsidP="00654490">
      <w:pPr>
        <w:spacing w:line="240" w:lineRule="auto"/>
        <w:jc w:val="both"/>
        <w:rPr>
          <w:rFonts w:ascii="Times New Roman" w:eastAsia="Batang" w:hAnsi="Times New Roman"/>
          <w:b/>
          <w:sz w:val="24"/>
          <w:szCs w:val="24"/>
        </w:rPr>
      </w:pPr>
      <w:r w:rsidRPr="0057301A">
        <w:rPr>
          <w:rFonts w:ascii="Times New Roman" w:eastAsia="Batang" w:hAnsi="Times New Roman"/>
          <w:b/>
          <w:sz w:val="24"/>
          <w:szCs w:val="24"/>
        </w:rPr>
        <w:t>Resolution Urging Congress, as Federal Income Tax Reform Advances, to Protect the Deductibility of State and Local Taxes</w:t>
      </w:r>
    </w:p>
    <w:p w:rsidR="007D42B3" w:rsidRPr="0057301A" w:rsidRDefault="007D42B3" w:rsidP="00654490">
      <w:pPr>
        <w:spacing w:line="240" w:lineRule="auto"/>
        <w:jc w:val="both"/>
        <w:rPr>
          <w:rFonts w:ascii="Times New Roman" w:eastAsia="Batang" w:hAnsi="Times New Roman"/>
          <w:sz w:val="24"/>
          <w:szCs w:val="24"/>
        </w:rPr>
      </w:pPr>
      <w:r w:rsidRPr="0057301A">
        <w:rPr>
          <w:rFonts w:ascii="Times New Roman" w:eastAsia="Batang" w:hAnsi="Times New Roman"/>
          <w:sz w:val="24"/>
          <w:szCs w:val="24"/>
        </w:rPr>
        <w:t>WHEREAS, the Federal Tax Code is incredibly complex and every one of its provisions was enacted for a reason. While some of those reasons may no longer serve the public’s interest, others remain fair and effective tools that promote the general welfare; and</w:t>
      </w: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the deduction for state and local taxes (SALT) has been a feature of the tax code for more than 100 years. In 1913, the first federal income tax form allowed taxpayers to deduct state and local taxes, one of only six deductions allowed at the time. Even the federal Civil War tax in 1862 included a deduction for SALT;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this provision ensures against double taxation and reflects mandatory tax payments, which support public services that benefit all citizens, such as K-12 schools, law enforcement and public safety, transportation and infrastructure, and vital community and public health services;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taxpayers in all 50 states – and in both Democratic and Republican congressional districts – benefit from the SALT deduction. The SALT deduction is claimed by taxpayers of all income levels. The deduction is especially important for middle income homeowners, as fifty percent of the deductions claimed by taxpayers making $50,000 to $100,000 are for property taxes;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the SALT deduction does not unfairly benefit taxpayers in high tax states. To the contrary, low tax states are generally more dependent on the federal government, receiving more in federal funding than they pay in federal taxes. According to one study, Mississippi, Alabama and Louisiana are among the most subsidized states, receiving about $3 in federal spending for every $1 contributed in taxes; while New Jersey, New York and Illinois are among the states that receive less than $1 from the federal government for every $1 paid in federal taxes;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eliminating the SALT deduction would raise taxes on middle class homeowners – even if the standard deduction were doubled. A recent study commissioned by the National Association of Realtors found that homeowners with adjusted gross incomes (AGI) between $50,000 and $200,000 would see an average tax increase of $815 if SALT were eliminated and the standard deduction were doubled;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SALT is strongly tied to home ownership since the overwhelming number of itemizers who claim the deduction (44 million) deduct property taxes (40.7 million) and mortgage interest (35.4 million). Eliminating SALT will diminish the value of the mortgage interest deduction, resulting in a 10% decline in home values in the immediate term; now, therefore, be it</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lastRenderedPageBreak/>
        <w:t xml:space="preserve">RESOLVED, that the Mayor and Council of the Borough of Bloomingdale urges New Jersey’s U.S. Senators, Robert Menendez and Cory Booker, and </w:t>
      </w:r>
      <w:r w:rsidRPr="0057301A">
        <w:rPr>
          <w:rFonts w:ascii="Times New Roman" w:eastAsia="Batang" w:hAnsi="Times New Roman"/>
          <w:color w:val="000000"/>
          <w:sz w:val="24"/>
          <w:szCs w:val="24"/>
          <w:shd w:val="clear" w:color="auto" w:fill="FFFFFF"/>
        </w:rPr>
        <w:t>Representative </w:t>
      </w:r>
      <w:r w:rsidRPr="0057301A">
        <w:rPr>
          <w:rStyle w:val="Emphasis"/>
          <w:rFonts w:ascii="Times New Roman" w:eastAsia="Batang" w:hAnsi="Times New Roman"/>
          <w:bCs/>
          <w:i w:val="0"/>
          <w:iCs w:val="0"/>
          <w:color w:val="000000"/>
          <w:sz w:val="24"/>
          <w:szCs w:val="24"/>
          <w:shd w:val="clear" w:color="auto" w:fill="FFFFFF"/>
        </w:rPr>
        <w:t>Rodney Frelinghuysen</w:t>
      </w:r>
      <w:r w:rsidRPr="0057301A">
        <w:rPr>
          <w:rStyle w:val="Emphasis"/>
          <w:rFonts w:ascii="Times New Roman" w:eastAsia="Batang" w:hAnsi="Times New Roman"/>
          <w:b/>
          <w:bCs/>
          <w:i w:val="0"/>
          <w:iCs w:val="0"/>
          <w:color w:val="000000"/>
          <w:sz w:val="24"/>
          <w:szCs w:val="24"/>
          <w:shd w:val="clear" w:color="auto" w:fill="FFFFFF"/>
        </w:rPr>
        <w:t xml:space="preserve"> </w:t>
      </w:r>
      <w:r w:rsidRPr="0057301A">
        <w:rPr>
          <w:rFonts w:ascii="Times New Roman" w:eastAsia="Batang" w:hAnsi="Times New Roman"/>
          <w:sz w:val="24"/>
          <w:szCs w:val="24"/>
        </w:rPr>
        <w:t>to oppose, with voice and vote, any proposal to eliminate the fair and reasonable SALT deductibility provision from the Federal Tax Code; and be it, further;</w:t>
      </w:r>
    </w:p>
    <w:p w:rsidR="007D42B3" w:rsidRPr="0057301A" w:rsidRDefault="007D42B3" w:rsidP="00654490">
      <w:pPr>
        <w:pStyle w:val="NoSpacing"/>
        <w:jc w:val="both"/>
        <w:rPr>
          <w:rFonts w:ascii="Times New Roman" w:eastAsia="Batang" w:hAnsi="Times New Roman"/>
          <w:sz w:val="24"/>
          <w:szCs w:val="24"/>
        </w:rPr>
      </w:pPr>
    </w:p>
    <w:p w:rsidR="007D42B3" w:rsidRPr="007F3C1C"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 xml:space="preserve">RESOLVED, that copies of this resolution be forwarded to our above named representatives in Congress, all other Members of the House of Representatives representing </w:t>
      </w:r>
      <w:smartTag w:uri="urn:schemas-microsoft-com:office:smarttags" w:element="State">
        <w:smartTag w:uri="urn:schemas-microsoft-com:office:smarttags" w:element="place">
          <w:r w:rsidRPr="0057301A">
            <w:rPr>
              <w:rFonts w:ascii="Times New Roman" w:eastAsia="Batang" w:hAnsi="Times New Roman"/>
              <w:sz w:val="24"/>
              <w:szCs w:val="24"/>
            </w:rPr>
            <w:t>New Jersey</w:t>
          </w:r>
        </w:smartTag>
      </w:smartTag>
      <w:r w:rsidRPr="0057301A">
        <w:rPr>
          <w:rFonts w:ascii="Times New Roman" w:eastAsia="Batang" w:hAnsi="Times New Roman"/>
          <w:sz w:val="24"/>
          <w:szCs w:val="24"/>
        </w:rPr>
        <w:t xml:space="preserve"> taxpayers </w:t>
      </w:r>
      <w:r w:rsidRPr="007F3C1C">
        <w:rPr>
          <w:rFonts w:ascii="Times New Roman" w:eastAsia="Batang" w:hAnsi="Times New Roman"/>
          <w:sz w:val="24"/>
          <w:szCs w:val="24"/>
        </w:rPr>
        <w:t>and municipalities, and to the New Jersey State League of Municipalities.</w:t>
      </w:r>
    </w:p>
    <w:p w:rsidR="007B5D19" w:rsidRPr="007B5D19" w:rsidRDefault="007B5D19" w:rsidP="007B5D19">
      <w:pPr>
        <w:jc w:val="both"/>
        <w:rPr>
          <w:sz w:val="20"/>
          <w:szCs w:val="20"/>
        </w:rPr>
      </w:pPr>
    </w:p>
    <w:p w:rsidR="007B5D19" w:rsidRPr="007B5D19" w:rsidRDefault="007B5D19" w:rsidP="007B5D19">
      <w:pPr>
        <w:pStyle w:val="Heading2"/>
        <w:rPr>
          <w:sz w:val="20"/>
        </w:rPr>
      </w:pPr>
      <w:r w:rsidRPr="007B5D19">
        <w:rPr>
          <w:sz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7B5D19" w:rsidRPr="007B5D19" w:rsidTr="007B5D19">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caps/>
                <w:sz w:val="20"/>
                <w:szCs w:val="20"/>
              </w:rPr>
            </w:pPr>
            <w:r w:rsidRPr="007B5D19">
              <w:rPr>
                <w:caps/>
                <w:sz w:val="20"/>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caps/>
                <w:sz w:val="20"/>
                <w:szCs w:val="20"/>
              </w:rPr>
            </w:pPr>
            <w:r w:rsidRPr="007B5D19">
              <w:rPr>
                <w:caps/>
                <w:sz w:val="20"/>
                <w:szCs w:val="20"/>
              </w:rPr>
              <w:t>aye</w:t>
            </w:r>
          </w:p>
        </w:tc>
        <w:tc>
          <w:tcPr>
            <w:tcW w:w="6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caps/>
                <w:sz w:val="20"/>
                <w:szCs w:val="20"/>
              </w:rPr>
            </w:pPr>
            <w:r w:rsidRPr="007B5D19">
              <w:rPr>
                <w:caps/>
                <w:sz w:val="20"/>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Abstain</w:t>
            </w:r>
          </w:p>
        </w:tc>
        <w:tc>
          <w:tcPr>
            <w:tcW w:w="90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Absent</w:t>
            </w:r>
          </w:p>
        </w:tc>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caps/>
                <w:sz w:val="20"/>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caps/>
                <w:sz w:val="20"/>
                <w:szCs w:val="20"/>
              </w:rPr>
            </w:pPr>
            <w:r w:rsidRPr="007B5D19">
              <w:rPr>
                <w:caps/>
                <w:sz w:val="20"/>
                <w:szCs w:val="20"/>
              </w:rPr>
              <w:t>aye</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caps/>
                <w:sz w:val="20"/>
                <w:szCs w:val="20"/>
              </w:rPr>
            </w:pPr>
            <w:r w:rsidRPr="007B5D19">
              <w:rPr>
                <w:caps/>
                <w:sz w:val="20"/>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Abstain</w:t>
            </w:r>
          </w:p>
        </w:tc>
        <w:tc>
          <w:tcPr>
            <w:tcW w:w="81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Absent</w:t>
            </w:r>
          </w:p>
        </w:tc>
      </w:tr>
      <w:tr w:rsidR="007B5D19" w:rsidRPr="007B5D19" w:rsidTr="007B5D19">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Sondermeyer</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X</w:t>
            </w:r>
          </w:p>
        </w:tc>
        <w:tc>
          <w:tcPr>
            <w:tcW w:w="63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90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p>
        </w:tc>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Dellaripa</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X</w:t>
            </w:r>
          </w:p>
        </w:tc>
        <w:tc>
          <w:tcPr>
            <w:tcW w:w="72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r>
      <w:tr w:rsidR="007B5D19" w:rsidRPr="007B5D19" w:rsidTr="007B5D19">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D’Amato</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X</w:t>
            </w:r>
          </w:p>
        </w:tc>
        <w:tc>
          <w:tcPr>
            <w:tcW w:w="63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Costa</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X</w:t>
            </w:r>
          </w:p>
        </w:tc>
        <w:tc>
          <w:tcPr>
            <w:tcW w:w="72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r>
      <w:tr w:rsidR="007B5D19" w:rsidRPr="007B5D19" w:rsidTr="007B5D19">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Hudson</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X</w:t>
            </w:r>
          </w:p>
        </w:tc>
        <w:tc>
          <w:tcPr>
            <w:tcW w:w="63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153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Yazdi</w:t>
            </w:r>
          </w:p>
        </w:tc>
        <w:tc>
          <w:tcPr>
            <w:tcW w:w="720" w:type="dxa"/>
            <w:tcBorders>
              <w:top w:val="single" w:sz="6" w:space="0" w:color="auto"/>
              <w:left w:val="single" w:sz="6" w:space="0" w:color="auto"/>
              <w:bottom w:val="single" w:sz="6" w:space="0" w:color="auto"/>
              <w:right w:val="single" w:sz="6" w:space="0" w:color="auto"/>
            </w:tcBorders>
            <w:hideMark/>
          </w:tcPr>
          <w:p w:rsidR="007B5D19" w:rsidRPr="007B5D19" w:rsidRDefault="007B5D19">
            <w:pPr>
              <w:rPr>
                <w:sz w:val="20"/>
                <w:szCs w:val="20"/>
              </w:rPr>
            </w:pPr>
            <w:r w:rsidRPr="007B5D19">
              <w:rPr>
                <w:sz w:val="20"/>
                <w:szCs w:val="20"/>
              </w:rPr>
              <w:t>X</w:t>
            </w:r>
          </w:p>
        </w:tc>
        <w:tc>
          <w:tcPr>
            <w:tcW w:w="72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c>
          <w:tcPr>
            <w:tcW w:w="810" w:type="dxa"/>
            <w:tcBorders>
              <w:top w:val="single" w:sz="6" w:space="0" w:color="auto"/>
              <w:left w:val="single" w:sz="6" w:space="0" w:color="auto"/>
              <w:bottom w:val="single" w:sz="6" w:space="0" w:color="auto"/>
              <w:right w:val="single" w:sz="6" w:space="0" w:color="auto"/>
            </w:tcBorders>
          </w:tcPr>
          <w:p w:rsidR="007B5D19" w:rsidRPr="007B5D19" w:rsidRDefault="007B5D19">
            <w:pPr>
              <w:rPr>
                <w:sz w:val="20"/>
                <w:szCs w:val="20"/>
              </w:rPr>
            </w:pPr>
          </w:p>
        </w:tc>
      </w:tr>
    </w:tbl>
    <w:p w:rsidR="007B5D19" w:rsidRPr="007B5D19" w:rsidRDefault="007B5D19" w:rsidP="007B5D19">
      <w:pPr>
        <w:rPr>
          <w:sz w:val="20"/>
          <w:szCs w:val="20"/>
        </w:rPr>
      </w:pPr>
      <w:r w:rsidRPr="007B5D19">
        <w:rPr>
          <w:sz w:val="20"/>
          <w:szCs w:val="20"/>
        </w:rPr>
        <w:t>I hereby certify that the foregoing is a true copy of a Resolution adopted by the Governing Body of the</w:t>
      </w:r>
    </w:p>
    <w:p w:rsidR="007B5D19" w:rsidRPr="007B5D19" w:rsidRDefault="007B5D19" w:rsidP="007B5D19">
      <w:pPr>
        <w:rPr>
          <w:sz w:val="20"/>
          <w:szCs w:val="20"/>
        </w:rPr>
      </w:pPr>
      <w:r w:rsidRPr="007B5D19">
        <w:rPr>
          <w:sz w:val="20"/>
          <w:szCs w:val="20"/>
        </w:rPr>
        <w:t>Borough of Bloomingdale at an Official Meeting held on Tuesday, December 19, 2017.</w:t>
      </w:r>
    </w:p>
    <w:p w:rsidR="007B5D19" w:rsidRPr="007B5D19" w:rsidRDefault="007B5D19" w:rsidP="007B5D19">
      <w:pPr>
        <w:rPr>
          <w:sz w:val="20"/>
          <w:szCs w:val="20"/>
        </w:rPr>
      </w:pPr>
    </w:p>
    <w:p w:rsidR="007B5D19" w:rsidRPr="007B5D19" w:rsidRDefault="007B5D19" w:rsidP="007B5D19">
      <w:pPr>
        <w:rPr>
          <w:sz w:val="20"/>
          <w:szCs w:val="20"/>
        </w:rPr>
      </w:pPr>
      <w:r w:rsidRPr="007B5D19">
        <w:rPr>
          <w:sz w:val="20"/>
          <w:szCs w:val="20"/>
        </w:rPr>
        <w:t>___________________________________</w:t>
      </w:r>
      <w:bookmarkStart w:id="0" w:name="_GoBack"/>
      <w:bookmarkEnd w:id="0"/>
    </w:p>
    <w:p w:rsidR="007B5D19" w:rsidRPr="007B5D19" w:rsidRDefault="007B5D19" w:rsidP="007B5D19">
      <w:pPr>
        <w:rPr>
          <w:sz w:val="20"/>
          <w:szCs w:val="20"/>
        </w:rPr>
      </w:pPr>
      <w:r w:rsidRPr="007B5D19">
        <w:rPr>
          <w:sz w:val="20"/>
          <w:szCs w:val="20"/>
        </w:rPr>
        <w:t>Jane McCarthy, R.M.C.</w:t>
      </w:r>
    </w:p>
    <w:p w:rsidR="007B5D19" w:rsidRPr="007B5D19" w:rsidRDefault="007B5D19" w:rsidP="007B5D19">
      <w:pPr>
        <w:rPr>
          <w:b/>
          <w:sz w:val="20"/>
          <w:szCs w:val="20"/>
        </w:rPr>
      </w:pPr>
      <w:r w:rsidRPr="007B5D19">
        <w:rPr>
          <w:sz w:val="20"/>
          <w:szCs w:val="20"/>
        </w:rPr>
        <w:t>Municipal Clerk, Borough of Bloomingdale</w:t>
      </w:r>
      <w:r w:rsidRPr="007B5D19">
        <w:rPr>
          <w:b/>
          <w:sz w:val="20"/>
          <w:szCs w:val="20"/>
        </w:rPr>
        <w:tab/>
      </w:r>
      <w:r w:rsidRPr="007B5D19">
        <w:rPr>
          <w:b/>
          <w:sz w:val="20"/>
          <w:szCs w:val="20"/>
        </w:rPr>
        <w:tab/>
      </w:r>
    </w:p>
    <w:p w:rsidR="007B5D19" w:rsidRDefault="007B5D19" w:rsidP="007B5D19">
      <w:pPr>
        <w:rPr>
          <w:rFonts w:ascii="Arial" w:hAnsi="Arial" w:cs="Arial"/>
        </w:rPr>
      </w:pPr>
    </w:p>
    <w:p w:rsidR="007D42B3" w:rsidRPr="007F3C1C" w:rsidRDefault="007D42B3" w:rsidP="00654490">
      <w:pPr>
        <w:pStyle w:val="NoSpacing"/>
        <w:jc w:val="both"/>
        <w:rPr>
          <w:rFonts w:ascii="Times New Roman" w:eastAsia="Batang" w:hAnsi="Times New Roman"/>
          <w:sz w:val="24"/>
          <w:szCs w:val="24"/>
        </w:rPr>
      </w:pPr>
    </w:p>
    <w:sectPr w:rsidR="007D42B3" w:rsidRPr="007F3C1C" w:rsidSect="00242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AE"/>
    <w:rsid w:val="00094BCE"/>
    <w:rsid w:val="00125D6A"/>
    <w:rsid w:val="001465FE"/>
    <w:rsid w:val="002310E0"/>
    <w:rsid w:val="002422F7"/>
    <w:rsid w:val="0057301A"/>
    <w:rsid w:val="00654490"/>
    <w:rsid w:val="0070578C"/>
    <w:rsid w:val="00750AAE"/>
    <w:rsid w:val="007B5D19"/>
    <w:rsid w:val="007D42B3"/>
    <w:rsid w:val="007F3C1C"/>
    <w:rsid w:val="00897C1E"/>
    <w:rsid w:val="00A12F42"/>
    <w:rsid w:val="00A239AD"/>
    <w:rsid w:val="00A7193D"/>
    <w:rsid w:val="00AB7862"/>
    <w:rsid w:val="00D45345"/>
    <w:rsid w:val="00E0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8FD0524-774A-4F7F-912D-67F2842E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2F7"/>
    <w:pPr>
      <w:spacing w:after="200" w:line="276" w:lineRule="auto"/>
    </w:pPr>
  </w:style>
  <w:style w:type="paragraph" w:styleId="Heading2">
    <w:name w:val="heading 2"/>
    <w:basedOn w:val="Normal"/>
    <w:next w:val="Normal"/>
    <w:link w:val="Heading2Char"/>
    <w:semiHidden/>
    <w:unhideWhenUsed/>
    <w:qFormat/>
    <w:locked/>
    <w:rsid w:val="007B5D19"/>
    <w:pPr>
      <w:keepNext/>
      <w:spacing w:after="0" w:line="240" w:lineRule="auto"/>
      <w:jc w:val="center"/>
      <w:outlineLvl w:val="1"/>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07BD3"/>
  </w:style>
  <w:style w:type="character" w:styleId="Emphasis">
    <w:name w:val="Emphasis"/>
    <w:basedOn w:val="DefaultParagraphFont"/>
    <w:uiPriority w:val="99"/>
    <w:qFormat/>
    <w:rsid w:val="00654490"/>
    <w:rPr>
      <w:rFonts w:cs="Times New Roman"/>
      <w:i/>
      <w:iCs/>
    </w:rPr>
  </w:style>
  <w:style w:type="paragraph" w:customStyle="1" w:styleId="TableParagraph">
    <w:name w:val="Table Paragraph"/>
    <w:basedOn w:val="Normal"/>
    <w:uiPriority w:val="99"/>
    <w:rsid w:val="007F3C1C"/>
    <w:pPr>
      <w:widowControl w:val="0"/>
      <w:spacing w:after="0" w:line="240" w:lineRule="auto"/>
    </w:pPr>
  </w:style>
  <w:style w:type="character" w:customStyle="1" w:styleId="Heading2Char">
    <w:name w:val="Heading 2 Char"/>
    <w:basedOn w:val="DefaultParagraphFont"/>
    <w:link w:val="Heading2"/>
    <w:semiHidden/>
    <w:rsid w:val="007B5D19"/>
    <w:rPr>
      <w:rFonts w:ascii="Times New Roman" w:eastAsia="Times New Roman" w:hAnsi="Times New Roman"/>
      <w:b/>
      <w:sz w:val="28"/>
      <w:szCs w:val="20"/>
    </w:rPr>
  </w:style>
  <w:style w:type="paragraph" w:styleId="BalloonText">
    <w:name w:val="Balloon Text"/>
    <w:basedOn w:val="Normal"/>
    <w:link w:val="BalloonTextChar"/>
    <w:uiPriority w:val="99"/>
    <w:semiHidden/>
    <w:unhideWhenUsed/>
    <w:rsid w:val="007B5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RESOLUTION NO</vt:lpstr>
    </vt:vector>
  </TitlesOfParts>
  <Company>Microsoft</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Jon Moran</dc:creator>
  <cp:keywords/>
  <dc:description/>
  <cp:lastModifiedBy>Jane McCarthy</cp:lastModifiedBy>
  <cp:revision>2</cp:revision>
  <cp:lastPrinted>2017-12-20T14:25:00Z</cp:lastPrinted>
  <dcterms:created xsi:type="dcterms:W3CDTF">2017-12-20T14:25:00Z</dcterms:created>
  <dcterms:modified xsi:type="dcterms:W3CDTF">2017-12-20T14:25:00Z</dcterms:modified>
</cp:coreProperties>
</file>