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6137E" w14:textId="16E7F183" w:rsidR="00B01C7B" w:rsidRPr="00093637" w:rsidRDefault="005D14C7">
      <w:pPr>
        <w:spacing w:line="310" w:lineRule="auto"/>
        <w:jc w:val="center"/>
        <w:rPr>
          <w:rFonts w:ascii="Times New Roman" w:hAnsi="Times New Roman" w:cs="Times New Roman"/>
          <w:sz w:val="24"/>
          <w:szCs w:val="24"/>
        </w:rPr>
      </w:pPr>
      <w:r>
        <w:rPr>
          <w:rFonts w:ascii="Times New Roman" w:hAnsi="Times New Roman" w:cs="Times New Roman"/>
          <w:b/>
          <w:sz w:val="24"/>
          <w:szCs w:val="24"/>
        </w:rPr>
        <w:t>RESOLUTION NO. 2018-4.4</w:t>
      </w:r>
      <w:bookmarkStart w:id="0" w:name="_GoBack"/>
      <w:bookmarkEnd w:id="0"/>
      <w:r w:rsidR="00093637" w:rsidRPr="00093637">
        <w:rPr>
          <w:rFonts w:ascii="Times New Roman" w:hAnsi="Times New Roman" w:cs="Times New Roman"/>
          <w:b/>
          <w:sz w:val="24"/>
          <w:szCs w:val="24"/>
        </w:rPr>
        <w:br/>
        <w:t>OF THE GOVERNING BODY OF</w:t>
      </w:r>
      <w:r w:rsidR="00093637" w:rsidRPr="00093637">
        <w:rPr>
          <w:rFonts w:ascii="Times New Roman" w:hAnsi="Times New Roman" w:cs="Times New Roman"/>
          <w:b/>
          <w:sz w:val="24"/>
          <w:szCs w:val="24"/>
        </w:rPr>
        <w:br/>
      </w:r>
      <w:r w:rsidR="00093637" w:rsidRPr="003856FE">
        <w:rPr>
          <w:rFonts w:ascii="Times New Roman" w:hAnsi="Times New Roman" w:cs="Times New Roman"/>
          <w:b/>
          <w:sz w:val="24"/>
          <w:szCs w:val="24"/>
          <w:u w:val="single"/>
        </w:rPr>
        <w:t>THE BOROUGH OF BLOOMINGDALE</w:t>
      </w:r>
      <w:r w:rsidR="00093637" w:rsidRPr="00093637">
        <w:rPr>
          <w:rFonts w:ascii="Times New Roman" w:hAnsi="Times New Roman" w:cs="Times New Roman"/>
          <w:sz w:val="24"/>
          <w:szCs w:val="24"/>
        </w:rPr>
        <w:br/>
      </w:r>
      <w:r w:rsidR="004A77FE" w:rsidRPr="00093637">
        <w:rPr>
          <w:rFonts w:ascii="Times New Roman" w:hAnsi="Times New Roman" w:cs="Times New Roman"/>
          <w:sz w:val="24"/>
          <w:szCs w:val="24"/>
        </w:rPr>
        <w:br/>
      </w:r>
      <w:r w:rsidR="00093637" w:rsidRPr="00093637">
        <w:rPr>
          <w:rFonts w:ascii="Times New Roman" w:hAnsi="Times New Roman" w:cs="Times New Roman"/>
          <w:sz w:val="24"/>
          <w:szCs w:val="24"/>
        </w:rPr>
        <w:t xml:space="preserve">Bloomingdale </w:t>
      </w:r>
      <w:r w:rsidR="00DC5D5E" w:rsidRPr="00093637">
        <w:rPr>
          <w:rFonts w:ascii="Times New Roman" w:hAnsi="Times New Roman" w:cs="Times New Roman"/>
          <w:sz w:val="24"/>
          <w:szCs w:val="24"/>
        </w:rPr>
        <w:t xml:space="preserve">Calling for 100% Renewable Energy </w:t>
      </w:r>
    </w:p>
    <w:p w14:paraId="19469EF2" w14:textId="77777777" w:rsidR="00B01C7B" w:rsidRPr="00093637" w:rsidRDefault="00B01C7B">
      <w:pPr>
        <w:spacing w:line="310" w:lineRule="auto"/>
        <w:jc w:val="center"/>
        <w:rPr>
          <w:rFonts w:ascii="Times New Roman" w:hAnsi="Times New Roman" w:cs="Times New Roman"/>
          <w:sz w:val="24"/>
          <w:szCs w:val="24"/>
        </w:rPr>
      </w:pPr>
    </w:p>
    <w:p w14:paraId="454C590B" w14:textId="77777777" w:rsidR="00B01C7B" w:rsidRPr="00093637"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xml:space="preserve">, There is broad scientific consensus that Earth's climate is warming and this warming is being caused by human activities that cause the release of greenhouse gases due to use of fossil fuels[1]; </w:t>
      </w:r>
      <w:r w:rsidR="00093637">
        <w:rPr>
          <w:rFonts w:ascii="Times New Roman" w:hAnsi="Times New Roman" w:cs="Times New Roman"/>
          <w:sz w:val="24"/>
          <w:szCs w:val="24"/>
        </w:rPr>
        <w:br/>
      </w:r>
    </w:p>
    <w:p w14:paraId="1D00DE81" w14:textId="77777777" w:rsidR="00B01C7B" w:rsidRPr="00093637"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xml:space="preserve">, climate change has far reaching impacts, including increasing likelihood of extreme weather events, sea level rise, flooding, drought, and mass extinctions[2]; </w:t>
      </w:r>
      <w:r w:rsidR="00093637">
        <w:rPr>
          <w:rFonts w:ascii="Times New Roman" w:hAnsi="Times New Roman" w:cs="Times New Roman"/>
          <w:sz w:val="24"/>
          <w:szCs w:val="24"/>
        </w:rPr>
        <w:br/>
      </w:r>
    </w:p>
    <w:p w14:paraId="4564B6BB" w14:textId="77777777" w:rsidR="00B01C7B" w:rsidRPr="00093637"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xml:space="preserve">, scientist are warning that we are quickly approaching climate tipping points, unpredictable and irreversible changes in our planet’s climate[3];  </w:t>
      </w:r>
      <w:r w:rsidR="00093637">
        <w:rPr>
          <w:rFonts w:ascii="Times New Roman" w:hAnsi="Times New Roman" w:cs="Times New Roman"/>
          <w:sz w:val="24"/>
          <w:szCs w:val="24"/>
        </w:rPr>
        <w:br/>
      </w:r>
    </w:p>
    <w:p w14:paraId="43C302CB" w14:textId="77777777" w:rsidR="00B01C7B"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climate change can have a disproportionate and adverse impact on vulnerable populations especially people living in environmental justice communities, people with low-incomes, children, and seniors.</w:t>
      </w:r>
    </w:p>
    <w:p w14:paraId="2B4EFDF0" w14:textId="77777777" w:rsidR="00EE7B7C" w:rsidRPr="00093637" w:rsidRDefault="00EE7B7C">
      <w:pPr>
        <w:spacing w:line="310" w:lineRule="auto"/>
        <w:rPr>
          <w:rFonts w:ascii="Times New Roman" w:hAnsi="Times New Roman" w:cs="Times New Roman"/>
          <w:sz w:val="24"/>
          <w:szCs w:val="24"/>
        </w:rPr>
      </w:pPr>
    </w:p>
    <w:p w14:paraId="1070B203" w14:textId="77777777" w:rsidR="00B01C7B"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the impact of climate change can cause damage to public parks, roads, municipal properties and equipment;</w:t>
      </w:r>
    </w:p>
    <w:p w14:paraId="4E69DE0D" w14:textId="77777777" w:rsidR="00EE7B7C" w:rsidRPr="00093637" w:rsidRDefault="00EE7B7C">
      <w:pPr>
        <w:spacing w:line="310" w:lineRule="auto"/>
        <w:rPr>
          <w:rFonts w:ascii="Times New Roman" w:hAnsi="Times New Roman" w:cs="Times New Roman"/>
          <w:sz w:val="24"/>
          <w:szCs w:val="24"/>
        </w:rPr>
      </w:pPr>
    </w:p>
    <w:p w14:paraId="4E788512" w14:textId="77777777" w:rsidR="00B01C7B"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co-pollutants from burning fossil fuels create significant respiratory ailments and deaths</w:t>
      </w:r>
      <w:proofErr w:type="gramStart"/>
      <w:r w:rsidRPr="00093637">
        <w:rPr>
          <w:rFonts w:ascii="Times New Roman" w:hAnsi="Times New Roman" w:cs="Times New Roman"/>
          <w:sz w:val="24"/>
          <w:szCs w:val="24"/>
        </w:rPr>
        <w:t>;[</w:t>
      </w:r>
      <w:proofErr w:type="gramEnd"/>
      <w:r w:rsidRPr="00093637">
        <w:rPr>
          <w:rFonts w:ascii="Times New Roman" w:hAnsi="Times New Roman" w:cs="Times New Roman"/>
          <w:sz w:val="24"/>
          <w:szCs w:val="24"/>
        </w:rPr>
        <w:t>4]</w:t>
      </w:r>
    </w:p>
    <w:p w14:paraId="0095D00C" w14:textId="77777777" w:rsidR="00EE7B7C" w:rsidRPr="00093637" w:rsidRDefault="00EE7B7C">
      <w:pPr>
        <w:spacing w:line="310" w:lineRule="auto"/>
        <w:rPr>
          <w:rFonts w:ascii="Times New Roman" w:hAnsi="Times New Roman" w:cs="Times New Roman"/>
          <w:sz w:val="24"/>
          <w:szCs w:val="24"/>
        </w:rPr>
      </w:pPr>
    </w:p>
    <w:p w14:paraId="0E5AFAEF" w14:textId="77777777" w:rsidR="00B01C7B" w:rsidRPr="00093637"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xml:space="preserve">, the provision of basic public services such as water treatment and snow removal can increase with climate change; </w:t>
      </w:r>
    </w:p>
    <w:p w14:paraId="53595A7F" w14:textId="77777777" w:rsidR="00B01C7B" w:rsidRPr="00093637"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xml:space="preserve">, resources for first responders can be strained when climate change related extreme weather events arise; </w:t>
      </w:r>
    </w:p>
    <w:p w14:paraId="25F19DE8" w14:textId="77777777" w:rsidR="00EE7B7C"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many of the costs associated with the impacts of climate change and/or mitigating those impacts will be borne by state and local governments, putting further strain on public budgets;</w:t>
      </w:r>
    </w:p>
    <w:p w14:paraId="41438E52" w14:textId="77777777" w:rsidR="00B01C7B" w:rsidRPr="00093637" w:rsidRDefault="00DC5D5E">
      <w:pPr>
        <w:spacing w:line="310" w:lineRule="auto"/>
        <w:rPr>
          <w:rFonts w:ascii="Times New Roman" w:hAnsi="Times New Roman" w:cs="Times New Roman"/>
          <w:sz w:val="24"/>
          <w:szCs w:val="24"/>
        </w:rPr>
      </w:pPr>
      <w:r w:rsidRPr="00093637">
        <w:rPr>
          <w:rFonts w:ascii="Times New Roman" w:hAnsi="Times New Roman" w:cs="Times New Roman"/>
          <w:sz w:val="24"/>
          <w:szCs w:val="24"/>
        </w:rPr>
        <w:t xml:space="preserve"> </w:t>
      </w:r>
    </w:p>
    <w:p w14:paraId="57B7ACBD" w14:textId="77777777" w:rsidR="00B01C7B"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it is less expensive to plan for and mitigate the impacts of climate change, rather than respond to emergencies when they happen; and</w:t>
      </w:r>
    </w:p>
    <w:p w14:paraId="3C6ABD68" w14:textId="77777777" w:rsidR="00EE7B7C" w:rsidRPr="00093637" w:rsidRDefault="00EE7B7C">
      <w:pPr>
        <w:spacing w:line="310" w:lineRule="auto"/>
        <w:rPr>
          <w:rFonts w:ascii="Times New Roman" w:hAnsi="Times New Roman" w:cs="Times New Roman"/>
          <w:sz w:val="24"/>
          <w:szCs w:val="24"/>
        </w:rPr>
      </w:pPr>
    </w:p>
    <w:p w14:paraId="65F10417" w14:textId="77777777" w:rsidR="00B01C7B" w:rsidRPr="00093637"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WHEREAS</w:t>
      </w:r>
      <w:r w:rsidRPr="00093637">
        <w:rPr>
          <w:rFonts w:ascii="Times New Roman" w:hAnsi="Times New Roman" w:cs="Times New Roman"/>
          <w:sz w:val="24"/>
          <w:szCs w:val="24"/>
        </w:rPr>
        <w:t xml:space="preserve">, studies show the feasibility of creating a 100% carbon free energy system, while creating jobs and improving public </w:t>
      </w:r>
      <w:proofErr w:type="gramStart"/>
      <w:r w:rsidRPr="00093637">
        <w:rPr>
          <w:rFonts w:ascii="Times New Roman" w:hAnsi="Times New Roman" w:cs="Times New Roman"/>
          <w:sz w:val="24"/>
          <w:szCs w:val="24"/>
        </w:rPr>
        <w:t>health[</w:t>
      </w:r>
      <w:proofErr w:type="gramEnd"/>
      <w:r w:rsidRPr="00093637">
        <w:rPr>
          <w:rFonts w:ascii="Times New Roman" w:hAnsi="Times New Roman" w:cs="Times New Roman"/>
          <w:sz w:val="24"/>
          <w:szCs w:val="24"/>
        </w:rPr>
        <w:t>5];</w:t>
      </w:r>
      <w:r w:rsidR="00764D0E">
        <w:rPr>
          <w:rFonts w:ascii="Times New Roman" w:hAnsi="Times New Roman" w:cs="Times New Roman"/>
          <w:sz w:val="24"/>
          <w:szCs w:val="24"/>
        </w:rPr>
        <w:br/>
      </w:r>
      <w:r w:rsidRPr="00093637">
        <w:rPr>
          <w:rFonts w:ascii="Times New Roman" w:hAnsi="Times New Roman" w:cs="Times New Roman"/>
          <w:sz w:val="24"/>
          <w:szCs w:val="24"/>
        </w:rPr>
        <w:t xml:space="preserve"> </w:t>
      </w:r>
    </w:p>
    <w:p w14:paraId="6A36C0DE" w14:textId="77777777" w:rsidR="00B01C7B" w:rsidRDefault="00DC5D5E">
      <w:pPr>
        <w:spacing w:line="310" w:lineRule="auto"/>
        <w:rPr>
          <w:rFonts w:ascii="Times New Roman" w:hAnsi="Times New Roman" w:cs="Times New Roman"/>
          <w:sz w:val="24"/>
          <w:szCs w:val="24"/>
        </w:rPr>
      </w:pPr>
      <w:r w:rsidRPr="00093637">
        <w:rPr>
          <w:rFonts w:ascii="Times New Roman" w:hAnsi="Times New Roman" w:cs="Times New Roman"/>
          <w:b/>
          <w:sz w:val="24"/>
          <w:szCs w:val="24"/>
        </w:rPr>
        <w:t>NOW THEREFORE IT BE RESOLVED</w:t>
      </w:r>
      <w:r w:rsidR="00093637">
        <w:rPr>
          <w:rFonts w:ascii="Times New Roman" w:hAnsi="Times New Roman" w:cs="Times New Roman"/>
          <w:sz w:val="24"/>
          <w:szCs w:val="24"/>
        </w:rPr>
        <w:t>, the Mayor and Council of the Borough of Bloomingdale</w:t>
      </w:r>
      <w:r w:rsidRPr="00093637">
        <w:rPr>
          <w:rFonts w:ascii="Times New Roman" w:hAnsi="Times New Roman" w:cs="Times New Roman"/>
          <w:sz w:val="24"/>
          <w:szCs w:val="24"/>
        </w:rPr>
        <w:t xml:space="preserve"> urges the state of </w:t>
      </w:r>
      <w:r w:rsidR="00764D0E">
        <w:rPr>
          <w:rFonts w:ascii="Times New Roman" w:hAnsi="Times New Roman" w:cs="Times New Roman"/>
          <w:sz w:val="24"/>
          <w:szCs w:val="24"/>
        </w:rPr>
        <w:t>New Jersey</w:t>
      </w:r>
      <w:r w:rsidRPr="00093637">
        <w:rPr>
          <w:rFonts w:ascii="Times New Roman" w:hAnsi="Times New Roman" w:cs="Times New Roman"/>
          <w:sz w:val="24"/>
          <w:szCs w:val="24"/>
        </w:rPr>
        <w:t xml:space="preserve"> to establish a renewable portfolio standard (RPS) with a goal of 100% renewable energy and transportation by 2035 and a halt to all new fossil fuel energy projects in the state; and</w:t>
      </w:r>
    </w:p>
    <w:p w14:paraId="5191EEAC" w14:textId="77777777" w:rsidR="00764D0E" w:rsidRPr="00093637" w:rsidRDefault="00764D0E">
      <w:pPr>
        <w:spacing w:line="310" w:lineRule="auto"/>
        <w:rPr>
          <w:rFonts w:ascii="Times New Roman" w:hAnsi="Times New Roman" w:cs="Times New Roman"/>
          <w:sz w:val="24"/>
          <w:szCs w:val="24"/>
        </w:rPr>
      </w:pPr>
    </w:p>
    <w:p w14:paraId="667E1725" w14:textId="77777777" w:rsidR="00B01C7B" w:rsidRPr="00093637" w:rsidRDefault="00DC5D5E">
      <w:pPr>
        <w:spacing w:line="310" w:lineRule="auto"/>
        <w:rPr>
          <w:rFonts w:ascii="Times New Roman" w:hAnsi="Times New Roman" w:cs="Times New Roman"/>
          <w:sz w:val="24"/>
          <w:szCs w:val="24"/>
        </w:rPr>
      </w:pPr>
      <w:r w:rsidRPr="00764D0E">
        <w:rPr>
          <w:rFonts w:ascii="Times New Roman" w:hAnsi="Times New Roman" w:cs="Times New Roman"/>
          <w:b/>
          <w:sz w:val="24"/>
          <w:szCs w:val="24"/>
        </w:rPr>
        <w:t>BE IT FURTHER RESOLVED</w:t>
      </w:r>
      <w:r w:rsidRPr="00093637">
        <w:rPr>
          <w:rFonts w:ascii="Times New Roman" w:hAnsi="Times New Roman" w:cs="Times New Roman"/>
          <w:sz w:val="24"/>
          <w:szCs w:val="24"/>
        </w:rPr>
        <w:t>: The RPS must only contain safe, clean energy such as wind, solar, geothermal and tidal energy sources, not greenhouse gas emitting sources such as burning animal waste, biomass, garbage or false solutions that continue reliance on fossil fuels like pollution trading, carbon capture and sequestration (CCS), gas power plants or pollution trading; and</w:t>
      </w:r>
    </w:p>
    <w:p w14:paraId="0E4ADE68" w14:textId="77777777" w:rsidR="00B01C7B" w:rsidRDefault="00764D0E">
      <w:pPr>
        <w:spacing w:line="310" w:lineRule="auto"/>
        <w:rPr>
          <w:rFonts w:ascii="Times New Roman" w:hAnsi="Times New Roman" w:cs="Times New Roman"/>
          <w:sz w:val="24"/>
          <w:szCs w:val="24"/>
        </w:rPr>
      </w:pPr>
      <w:r>
        <w:rPr>
          <w:rFonts w:ascii="Times New Roman" w:hAnsi="Times New Roman" w:cs="Times New Roman"/>
          <w:sz w:val="24"/>
          <w:szCs w:val="24"/>
        </w:rPr>
        <w:br/>
      </w:r>
      <w:r w:rsidR="00DC5D5E" w:rsidRPr="00764D0E">
        <w:rPr>
          <w:rFonts w:ascii="Times New Roman" w:hAnsi="Times New Roman" w:cs="Times New Roman"/>
          <w:b/>
          <w:sz w:val="24"/>
          <w:szCs w:val="24"/>
        </w:rPr>
        <w:t>BE IT FURTHER RESOLVED</w:t>
      </w:r>
      <w:r w:rsidR="00DC5D5E" w:rsidRPr="00093637">
        <w:rPr>
          <w:rFonts w:ascii="Times New Roman" w:hAnsi="Times New Roman" w:cs="Times New Roman"/>
          <w:sz w:val="24"/>
          <w:szCs w:val="24"/>
        </w:rPr>
        <w:t>: Policies must be enacted to support the development of distributed renewable energy, including those that support energy efficiency, retail net metering of electricity, community choice aggregation and community solar; and</w:t>
      </w:r>
    </w:p>
    <w:p w14:paraId="6942E7D6" w14:textId="77777777" w:rsidR="00764D0E" w:rsidRPr="00093637" w:rsidRDefault="00764D0E">
      <w:pPr>
        <w:spacing w:line="310" w:lineRule="auto"/>
        <w:rPr>
          <w:rFonts w:ascii="Times New Roman" w:hAnsi="Times New Roman" w:cs="Times New Roman"/>
          <w:sz w:val="24"/>
          <w:szCs w:val="24"/>
        </w:rPr>
      </w:pPr>
    </w:p>
    <w:p w14:paraId="46C4F574" w14:textId="77777777" w:rsidR="00B01C7B" w:rsidRDefault="00DC5D5E">
      <w:pPr>
        <w:spacing w:line="310" w:lineRule="auto"/>
        <w:rPr>
          <w:rFonts w:ascii="Times New Roman" w:hAnsi="Times New Roman" w:cs="Times New Roman"/>
          <w:sz w:val="24"/>
          <w:szCs w:val="24"/>
        </w:rPr>
      </w:pPr>
      <w:r w:rsidRPr="00764D0E">
        <w:rPr>
          <w:rFonts w:ascii="Times New Roman" w:hAnsi="Times New Roman" w:cs="Times New Roman"/>
          <w:b/>
          <w:sz w:val="24"/>
          <w:szCs w:val="24"/>
        </w:rPr>
        <w:t>BE IT FURTHER RESOLVED</w:t>
      </w:r>
      <w:r w:rsidRPr="00093637">
        <w:rPr>
          <w:rFonts w:ascii="Times New Roman" w:hAnsi="Times New Roman" w:cs="Times New Roman"/>
          <w:sz w:val="24"/>
          <w:szCs w:val="24"/>
        </w:rPr>
        <w:t>: There must be meaningful</w:t>
      </w:r>
      <w:r w:rsidRPr="00093637">
        <w:rPr>
          <w:rFonts w:ascii="Times New Roman" w:hAnsi="Times New Roman" w:cs="Times New Roman"/>
          <w:b/>
          <w:sz w:val="24"/>
          <w:szCs w:val="24"/>
        </w:rPr>
        <w:t xml:space="preserve"> </w:t>
      </w:r>
      <w:r w:rsidRPr="00093637">
        <w:rPr>
          <w:rFonts w:ascii="Times New Roman" w:hAnsi="Times New Roman" w:cs="Times New Roman"/>
          <w:sz w:val="24"/>
          <w:szCs w:val="24"/>
        </w:rPr>
        <w:t>participation of community members most affected by policy and infrastructure, in the development and implementation of a clean energy plan. Special efforts must be made to engage communities that are underrepresented in the decision-making process such as Indigenous groups, low-income communities, people of color, immigrants, and those disproportionately burdened by pollution; and</w:t>
      </w:r>
    </w:p>
    <w:p w14:paraId="0D092E86" w14:textId="77777777" w:rsidR="00764D0E" w:rsidRPr="00093637" w:rsidRDefault="00764D0E">
      <w:pPr>
        <w:spacing w:line="310" w:lineRule="auto"/>
        <w:rPr>
          <w:rFonts w:ascii="Times New Roman" w:hAnsi="Times New Roman" w:cs="Times New Roman"/>
          <w:sz w:val="24"/>
          <w:szCs w:val="24"/>
        </w:rPr>
      </w:pPr>
    </w:p>
    <w:p w14:paraId="344A73D1" w14:textId="77777777" w:rsidR="00B01C7B" w:rsidRPr="00093637" w:rsidRDefault="00DC5D5E">
      <w:pPr>
        <w:spacing w:line="310" w:lineRule="auto"/>
        <w:rPr>
          <w:rFonts w:ascii="Times New Roman" w:hAnsi="Times New Roman" w:cs="Times New Roman"/>
          <w:sz w:val="24"/>
          <w:szCs w:val="24"/>
        </w:rPr>
      </w:pPr>
      <w:r w:rsidRPr="00764D0E">
        <w:rPr>
          <w:rFonts w:ascii="Times New Roman" w:hAnsi="Times New Roman" w:cs="Times New Roman"/>
          <w:b/>
          <w:sz w:val="24"/>
          <w:szCs w:val="24"/>
        </w:rPr>
        <w:t>BE IT FURTHER RESOLVED:</w:t>
      </w:r>
      <w:r w:rsidRPr="00093637">
        <w:rPr>
          <w:rFonts w:ascii="Times New Roman" w:hAnsi="Times New Roman" w:cs="Times New Roman"/>
          <w:sz w:val="24"/>
          <w:szCs w:val="24"/>
        </w:rPr>
        <w:t xml:space="preserve"> As we transition to a 100% clean energy system, we must transition workers from jobs in the fossil fuel industry to living wage union jobs that support energy efficiency and the development of a renewable energy system. A just transition will include job training programs and relocation assistance that prioritize workers in displaced industries and those living in environmental justice communities.  </w:t>
      </w:r>
    </w:p>
    <w:p w14:paraId="2749E80D" w14:textId="77777777" w:rsidR="00B01C7B" w:rsidRPr="00093637" w:rsidRDefault="00DC5D5E">
      <w:pPr>
        <w:spacing w:line="310" w:lineRule="auto"/>
        <w:rPr>
          <w:rFonts w:ascii="Times New Roman" w:hAnsi="Times New Roman" w:cs="Times New Roman"/>
          <w:sz w:val="24"/>
          <w:szCs w:val="24"/>
        </w:rPr>
      </w:pPr>
      <w:r w:rsidRPr="00764D0E">
        <w:rPr>
          <w:rFonts w:ascii="Times New Roman" w:hAnsi="Times New Roman" w:cs="Times New Roman"/>
          <w:b/>
          <w:sz w:val="24"/>
          <w:szCs w:val="24"/>
        </w:rPr>
        <w:t>BE IT FINALLY RESOLVED:</w:t>
      </w:r>
      <w:r w:rsidRPr="00093637">
        <w:rPr>
          <w:rFonts w:ascii="Times New Roman" w:hAnsi="Times New Roman" w:cs="Times New Roman"/>
          <w:sz w:val="24"/>
          <w:szCs w:val="24"/>
        </w:rPr>
        <w:t xml:space="preserve"> that the federal government and the state must provide grants and resources to support municipal, county, state and regional efforts to meet the goal of 100% renewable energy. </w:t>
      </w:r>
    </w:p>
    <w:p w14:paraId="59580D5E" w14:textId="77777777" w:rsidR="00B01C7B" w:rsidRPr="00093637" w:rsidRDefault="00DC5D5E" w:rsidP="001F7286">
      <w:pPr>
        <w:spacing w:line="310" w:lineRule="auto"/>
        <w:rPr>
          <w:rFonts w:ascii="Times New Roman" w:hAnsi="Times New Roman" w:cs="Times New Roman"/>
          <w:sz w:val="24"/>
          <w:szCs w:val="24"/>
        </w:rPr>
      </w:pPr>
      <w:r w:rsidRPr="00093637">
        <w:rPr>
          <w:rFonts w:ascii="Times New Roman" w:hAnsi="Times New Roman" w:cs="Times New Roman"/>
          <w:sz w:val="24"/>
          <w:szCs w:val="24"/>
        </w:rPr>
        <w:t xml:space="preserve"> </w:t>
      </w:r>
    </w:p>
    <w:p w14:paraId="2205B667" w14:textId="77777777" w:rsidR="00B01C7B" w:rsidRPr="00093637" w:rsidRDefault="00B01C7B">
      <w:pPr>
        <w:rPr>
          <w:rFonts w:ascii="Times New Roman" w:hAnsi="Times New Roman" w:cs="Times New Roman"/>
          <w:sz w:val="24"/>
          <w:szCs w:val="24"/>
        </w:rPr>
      </w:pPr>
    </w:p>
    <w:p w14:paraId="50334C6F" w14:textId="77777777" w:rsidR="00B01C7B" w:rsidRPr="00093637" w:rsidRDefault="005D14C7">
      <w:pPr>
        <w:rPr>
          <w:rFonts w:ascii="Times New Roman" w:hAnsi="Times New Roman" w:cs="Times New Roman"/>
          <w:sz w:val="24"/>
          <w:szCs w:val="24"/>
        </w:rPr>
      </w:pPr>
      <w:r>
        <w:rPr>
          <w:rFonts w:ascii="Times New Roman" w:hAnsi="Times New Roman" w:cs="Times New Roman"/>
          <w:sz w:val="24"/>
          <w:szCs w:val="24"/>
        </w:rPr>
        <w:lastRenderedPageBreak/>
        <w:pict w14:anchorId="0F870950">
          <v:rect id="_x0000_i1025" style="width:0;height:1.5pt" o:hralign="center" o:hrstd="t" o:hr="t" fillcolor="#a0a0a0" stroked="f"/>
        </w:pict>
      </w:r>
    </w:p>
    <w:p w14:paraId="5B080EF2" w14:textId="77777777" w:rsidR="00B01C7B" w:rsidRPr="00093637" w:rsidRDefault="00DC5D5E">
      <w:pPr>
        <w:rPr>
          <w:rFonts w:ascii="Times New Roman" w:hAnsi="Times New Roman" w:cs="Times New Roman"/>
          <w:b/>
          <w:color w:val="1A407F"/>
          <w:sz w:val="24"/>
          <w:szCs w:val="24"/>
        </w:rPr>
      </w:pPr>
      <w:r w:rsidRPr="00093637">
        <w:rPr>
          <w:rFonts w:ascii="Times New Roman" w:hAnsi="Times New Roman" w:cs="Times New Roman"/>
          <w:sz w:val="24"/>
          <w:szCs w:val="24"/>
        </w:rPr>
        <w:t xml:space="preserve">[1] Intergovernmental Panel </w:t>
      </w:r>
      <w:proofErr w:type="spellStart"/>
      <w:r w:rsidRPr="00093637">
        <w:rPr>
          <w:rFonts w:ascii="Times New Roman" w:hAnsi="Times New Roman" w:cs="Times New Roman"/>
          <w:sz w:val="24"/>
          <w:szCs w:val="24"/>
        </w:rPr>
        <w:t>of</w:t>
      </w:r>
      <w:proofErr w:type="spellEnd"/>
      <w:r w:rsidRPr="00093637">
        <w:rPr>
          <w:rFonts w:ascii="Times New Roman" w:hAnsi="Times New Roman" w:cs="Times New Roman"/>
          <w:sz w:val="24"/>
          <w:szCs w:val="24"/>
        </w:rPr>
        <w:t xml:space="preserve"> Climate Change (2013</w:t>
      </w:r>
      <w:proofErr w:type="gramStart"/>
      <w:r w:rsidRPr="00093637">
        <w:rPr>
          <w:rFonts w:ascii="Times New Roman" w:hAnsi="Times New Roman" w:cs="Times New Roman"/>
          <w:sz w:val="24"/>
          <w:szCs w:val="24"/>
        </w:rPr>
        <w:t>)  "</w:t>
      </w:r>
      <w:proofErr w:type="gramEnd"/>
      <w:r w:rsidRPr="00093637">
        <w:rPr>
          <w:rFonts w:ascii="Times New Roman" w:hAnsi="Times New Roman" w:cs="Times New Roman"/>
          <w:b/>
          <w:color w:val="1A407F"/>
          <w:sz w:val="24"/>
          <w:szCs w:val="24"/>
        </w:rPr>
        <w:t>Climate Change 2013:</w:t>
      </w:r>
    </w:p>
    <w:p w14:paraId="5F3244D6" w14:textId="77777777" w:rsidR="00B01C7B" w:rsidRPr="00093637" w:rsidRDefault="00DC5D5E">
      <w:pPr>
        <w:rPr>
          <w:rFonts w:ascii="Times New Roman" w:hAnsi="Times New Roman" w:cs="Times New Roman"/>
          <w:sz w:val="24"/>
          <w:szCs w:val="24"/>
          <w:u w:val="single"/>
        </w:rPr>
      </w:pPr>
      <w:r w:rsidRPr="00093637">
        <w:rPr>
          <w:rFonts w:ascii="Times New Roman" w:hAnsi="Times New Roman" w:cs="Times New Roman"/>
          <w:sz w:val="24"/>
          <w:szCs w:val="24"/>
        </w:rPr>
        <w:t>The Physical Science Basis</w:t>
      </w:r>
      <w:r w:rsidRPr="00093637">
        <w:rPr>
          <w:rFonts w:ascii="Times New Roman" w:hAnsi="Times New Roman" w:cs="Times New Roman"/>
          <w:b/>
          <w:color w:val="1A407F"/>
          <w:sz w:val="24"/>
          <w:szCs w:val="24"/>
        </w:rPr>
        <w:t>"</w:t>
      </w:r>
      <w:hyperlink r:id="rId4">
        <w:r w:rsidRPr="00093637">
          <w:rPr>
            <w:rFonts w:ascii="Times New Roman" w:hAnsi="Times New Roman" w:cs="Times New Roman"/>
            <w:b/>
            <w:color w:val="1A407F"/>
            <w:sz w:val="24"/>
            <w:szCs w:val="24"/>
          </w:rPr>
          <w:t xml:space="preserve"> </w:t>
        </w:r>
      </w:hyperlink>
      <w:r w:rsidRPr="00093637">
        <w:rPr>
          <w:rFonts w:ascii="Times New Roman" w:hAnsi="Times New Roman" w:cs="Times New Roman"/>
          <w:sz w:val="24"/>
          <w:szCs w:val="24"/>
        </w:rPr>
        <w:fldChar w:fldCharType="begin"/>
      </w:r>
      <w:r w:rsidRPr="00093637">
        <w:rPr>
          <w:rFonts w:ascii="Times New Roman" w:hAnsi="Times New Roman" w:cs="Times New Roman"/>
          <w:sz w:val="24"/>
          <w:szCs w:val="24"/>
        </w:rPr>
        <w:instrText xml:space="preserve"> HYPERLINK "http://www.ipcc.ch/report/ar5/wg1/" </w:instrText>
      </w:r>
      <w:r w:rsidRPr="00093637">
        <w:rPr>
          <w:rFonts w:ascii="Times New Roman" w:hAnsi="Times New Roman" w:cs="Times New Roman"/>
          <w:sz w:val="24"/>
          <w:szCs w:val="24"/>
        </w:rPr>
        <w:fldChar w:fldCharType="separate"/>
      </w:r>
      <w:r w:rsidRPr="00093637">
        <w:rPr>
          <w:rFonts w:ascii="Times New Roman" w:hAnsi="Times New Roman" w:cs="Times New Roman"/>
          <w:sz w:val="24"/>
          <w:szCs w:val="24"/>
          <w:u w:val="single"/>
        </w:rPr>
        <w:t>http://www.ipcc.ch/report/ar5/wg1/</w:t>
      </w:r>
    </w:p>
    <w:p w14:paraId="2687A74D" w14:textId="77777777" w:rsidR="00B01C7B" w:rsidRPr="00093637" w:rsidRDefault="00DC5D5E">
      <w:pPr>
        <w:rPr>
          <w:rFonts w:ascii="Times New Roman" w:hAnsi="Times New Roman" w:cs="Times New Roman"/>
          <w:sz w:val="24"/>
          <w:szCs w:val="24"/>
        </w:rPr>
      </w:pPr>
      <w:r w:rsidRPr="00093637">
        <w:rPr>
          <w:rFonts w:ascii="Times New Roman" w:hAnsi="Times New Roman" w:cs="Times New Roman"/>
          <w:sz w:val="24"/>
          <w:szCs w:val="24"/>
        </w:rPr>
        <w:fldChar w:fldCharType="end"/>
      </w:r>
      <w:r w:rsidRPr="00093637">
        <w:rPr>
          <w:rFonts w:ascii="Times New Roman" w:hAnsi="Times New Roman" w:cs="Times New Roman"/>
          <w:sz w:val="24"/>
          <w:szCs w:val="24"/>
        </w:rPr>
        <w:t>[2] Herring Stephanie, (2015) EXPLAINING EXTREME EVENTS OF 2014 FROM A CLIMATE PERSPECTIVE http://journals.ametsoc.org/doi/pdf/10.1175/BAMS-ExplainingExtremeEvents2014.1</w:t>
      </w:r>
    </w:p>
    <w:p w14:paraId="3D29FB7B" w14:textId="77777777" w:rsidR="00B01C7B" w:rsidRPr="00093637" w:rsidRDefault="00DC5D5E">
      <w:pPr>
        <w:rPr>
          <w:rFonts w:ascii="Times New Roman" w:hAnsi="Times New Roman" w:cs="Times New Roman"/>
          <w:sz w:val="24"/>
          <w:szCs w:val="24"/>
        </w:rPr>
      </w:pPr>
      <w:r w:rsidRPr="00093637">
        <w:rPr>
          <w:rFonts w:ascii="Times New Roman" w:hAnsi="Times New Roman" w:cs="Times New Roman"/>
          <w:sz w:val="24"/>
          <w:szCs w:val="24"/>
        </w:rPr>
        <w:t>[3] Crowther, T.W. "Quantifying global soil carbon losses in response</w:t>
      </w:r>
    </w:p>
    <w:p w14:paraId="0EA1749B" w14:textId="77777777" w:rsidR="00B01C7B" w:rsidRPr="00093637" w:rsidRDefault="00DC5D5E">
      <w:pPr>
        <w:rPr>
          <w:rFonts w:ascii="Times New Roman" w:hAnsi="Times New Roman" w:cs="Times New Roman"/>
          <w:sz w:val="24"/>
          <w:szCs w:val="24"/>
        </w:rPr>
      </w:pPr>
      <w:r w:rsidRPr="00093637">
        <w:rPr>
          <w:rFonts w:ascii="Times New Roman" w:hAnsi="Times New Roman" w:cs="Times New Roman"/>
          <w:sz w:val="24"/>
          <w:szCs w:val="24"/>
        </w:rPr>
        <w:t>to warming". Nature. Volume 540. December 1, 2016.</w:t>
      </w:r>
    </w:p>
    <w:p w14:paraId="63030665" w14:textId="77777777" w:rsidR="00B01C7B" w:rsidRPr="00093637" w:rsidRDefault="00DC5D5E">
      <w:pPr>
        <w:rPr>
          <w:rFonts w:ascii="Times New Roman" w:hAnsi="Times New Roman" w:cs="Times New Roman"/>
          <w:sz w:val="24"/>
          <w:szCs w:val="24"/>
        </w:rPr>
      </w:pPr>
      <w:r w:rsidRPr="00093637">
        <w:rPr>
          <w:rFonts w:ascii="Times New Roman" w:hAnsi="Times New Roman" w:cs="Times New Roman"/>
          <w:sz w:val="24"/>
          <w:szCs w:val="24"/>
        </w:rPr>
        <w:t>[4] Clean Air Taskforce (2010) "</w:t>
      </w:r>
      <w:hyperlink r:id="rId5">
        <w:r w:rsidRPr="00093637">
          <w:rPr>
            <w:rFonts w:ascii="Times New Roman" w:hAnsi="Times New Roman" w:cs="Times New Roman"/>
            <w:color w:val="1155CC"/>
            <w:sz w:val="24"/>
            <w:szCs w:val="24"/>
            <w:u w:val="single"/>
          </w:rPr>
          <w:t>The Toll from Coal: An Updated Assessment of Death and Disease from America's Dirtiest Energy Source</w:t>
        </w:r>
      </w:hyperlink>
      <w:r w:rsidRPr="00093637">
        <w:rPr>
          <w:rFonts w:ascii="Times New Roman" w:hAnsi="Times New Roman" w:cs="Times New Roman"/>
          <w:sz w:val="24"/>
          <w:szCs w:val="24"/>
        </w:rPr>
        <w:t>" http://www.catf.us/resources/publications/files/The_Toll_from_Coal.pdf</w:t>
      </w:r>
    </w:p>
    <w:p w14:paraId="0619315A" w14:textId="5C165B87" w:rsidR="00B01C7B" w:rsidRDefault="00DC5D5E">
      <w:pPr>
        <w:rPr>
          <w:rFonts w:ascii="Times New Roman" w:hAnsi="Times New Roman" w:cs="Times New Roman"/>
          <w:sz w:val="24"/>
          <w:szCs w:val="24"/>
        </w:rPr>
      </w:pPr>
      <w:r w:rsidRPr="00093637">
        <w:rPr>
          <w:rFonts w:ascii="Times New Roman" w:hAnsi="Times New Roman" w:cs="Times New Roman"/>
          <w:sz w:val="24"/>
          <w:szCs w:val="24"/>
        </w:rPr>
        <w:t xml:space="preserve">[5] </w:t>
      </w:r>
      <w:proofErr w:type="spellStart"/>
      <w:r w:rsidRPr="00093637">
        <w:rPr>
          <w:rFonts w:ascii="Times New Roman" w:hAnsi="Times New Roman" w:cs="Times New Roman"/>
          <w:sz w:val="24"/>
          <w:szCs w:val="24"/>
        </w:rPr>
        <w:t>Makhijani</w:t>
      </w:r>
      <w:proofErr w:type="spellEnd"/>
      <w:r w:rsidRPr="00093637">
        <w:rPr>
          <w:rFonts w:ascii="Times New Roman" w:hAnsi="Times New Roman" w:cs="Times New Roman"/>
          <w:sz w:val="24"/>
          <w:szCs w:val="24"/>
        </w:rPr>
        <w:t xml:space="preserve">, Arjun. Carbon-Free and Nuclear-Free: A Roadmap for U.S. Energy Policy. Institute for Energy and Environmental Research. 2010. </w:t>
      </w:r>
      <w:hyperlink r:id="rId6" w:history="1">
        <w:r w:rsidR="0014133B" w:rsidRPr="00E03A66">
          <w:rPr>
            <w:rStyle w:val="Hyperlink"/>
            <w:rFonts w:ascii="Times New Roman" w:hAnsi="Times New Roman" w:cs="Times New Roman"/>
            <w:sz w:val="24"/>
            <w:szCs w:val="24"/>
          </w:rPr>
          <w:t>http://ieer.org/projects/carbon-free-nuclear-free/</w:t>
        </w:r>
      </w:hyperlink>
    </w:p>
    <w:p w14:paraId="2821EF2D" w14:textId="60C22F3B" w:rsidR="0014133B" w:rsidRDefault="0014133B">
      <w:pPr>
        <w:rPr>
          <w:rFonts w:ascii="Times New Roman" w:hAnsi="Times New Roman" w:cs="Times New Roman"/>
          <w:sz w:val="24"/>
          <w:szCs w:val="24"/>
        </w:rPr>
      </w:pPr>
    </w:p>
    <w:p w14:paraId="149AE339" w14:textId="150BADB1" w:rsidR="0014133B" w:rsidRDefault="0014133B">
      <w:pPr>
        <w:rPr>
          <w:rFonts w:ascii="Times New Roman" w:hAnsi="Times New Roman" w:cs="Times New Roman"/>
          <w:sz w:val="24"/>
          <w:szCs w:val="24"/>
        </w:rPr>
      </w:pPr>
    </w:p>
    <w:p w14:paraId="33F5F288" w14:textId="77777777" w:rsidR="0014133B" w:rsidRPr="0014133B" w:rsidRDefault="0014133B" w:rsidP="0014133B">
      <w:pPr>
        <w:keepNext/>
        <w:pBdr>
          <w:top w:val="none" w:sz="0" w:space="0" w:color="auto"/>
          <w:left w:val="none" w:sz="0" w:space="0" w:color="auto"/>
          <w:bottom w:val="none" w:sz="0" w:space="0" w:color="auto"/>
          <w:right w:val="none" w:sz="0" w:space="0" w:color="auto"/>
          <w:between w:val="none" w:sz="0" w:space="0" w:color="auto"/>
        </w:pBdr>
        <w:spacing w:before="240" w:after="60" w:line="240" w:lineRule="auto"/>
        <w:jc w:val="center"/>
        <w:outlineLvl w:val="1"/>
        <w:rPr>
          <w:rFonts w:ascii="Times New Roman" w:eastAsia="Times New Roman" w:hAnsi="Times New Roman" w:cs="Times New Roman"/>
          <w:b/>
          <w:bCs/>
          <w:i/>
          <w:iCs/>
          <w:color w:val="auto"/>
          <w:sz w:val="18"/>
          <w:szCs w:val="20"/>
          <w:lang w:val="en-US"/>
        </w:rPr>
      </w:pPr>
      <w:r w:rsidRPr="0014133B">
        <w:rPr>
          <w:rFonts w:ascii="Times New Roman" w:eastAsia="Times New Roman" w:hAnsi="Times New Roman" w:cs="Times New Roman"/>
          <w:b/>
          <w:bCs/>
          <w:i/>
          <w:iCs/>
          <w:color w:val="auto"/>
          <w:sz w:val="18"/>
          <w:szCs w:val="28"/>
          <w:lang w:val="en-US"/>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4133B" w:rsidRPr="0014133B" w14:paraId="69973BC6" w14:textId="77777777" w:rsidTr="00E52537">
        <w:tc>
          <w:tcPr>
            <w:tcW w:w="1890" w:type="dxa"/>
            <w:tcBorders>
              <w:top w:val="single" w:sz="6" w:space="0" w:color="auto"/>
              <w:left w:val="single" w:sz="6" w:space="0" w:color="auto"/>
              <w:bottom w:val="single" w:sz="6" w:space="0" w:color="auto"/>
              <w:right w:val="single" w:sz="6" w:space="0" w:color="auto"/>
            </w:tcBorders>
            <w:hideMark/>
          </w:tcPr>
          <w:p w14:paraId="7D660D7D"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aps/>
                <w:color w:val="auto"/>
                <w:sz w:val="18"/>
                <w:szCs w:val="18"/>
                <w:lang w:val="en-US"/>
              </w:rPr>
            </w:pPr>
            <w:r w:rsidRPr="0014133B">
              <w:rPr>
                <w:rFonts w:ascii="Times New Roman" w:eastAsia="Times New Roman" w:hAnsi="Times New Roman" w:cs="Times New Roman"/>
                <w:caps/>
                <w:color w:val="auto"/>
                <w:sz w:val="18"/>
                <w:szCs w:val="18"/>
                <w:lang w:val="en-US"/>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4F207C8E"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aps/>
                <w:color w:val="auto"/>
                <w:sz w:val="18"/>
                <w:szCs w:val="18"/>
                <w:lang w:val="en-US"/>
              </w:rPr>
            </w:pPr>
            <w:r w:rsidRPr="0014133B">
              <w:rPr>
                <w:rFonts w:ascii="Times New Roman" w:eastAsia="Times New Roman" w:hAnsi="Times New Roman" w:cs="Times New Roman"/>
                <w:caps/>
                <w:color w:val="auto"/>
                <w:sz w:val="18"/>
                <w:szCs w:val="18"/>
                <w:lang w:val="en-US"/>
              </w:rPr>
              <w:t>aye</w:t>
            </w:r>
          </w:p>
        </w:tc>
        <w:tc>
          <w:tcPr>
            <w:tcW w:w="720" w:type="dxa"/>
            <w:tcBorders>
              <w:top w:val="single" w:sz="6" w:space="0" w:color="auto"/>
              <w:left w:val="single" w:sz="6" w:space="0" w:color="auto"/>
              <w:bottom w:val="single" w:sz="6" w:space="0" w:color="auto"/>
              <w:right w:val="single" w:sz="6" w:space="0" w:color="auto"/>
            </w:tcBorders>
            <w:hideMark/>
          </w:tcPr>
          <w:p w14:paraId="2C572F13"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aps/>
                <w:color w:val="auto"/>
                <w:sz w:val="18"/>
                <w:szCs w:val="18"/>
                <w:lang w:val="en-US"/>
              </w:rPr>
            </w:pPr>
            <w:r w:rsidRPr="0014133B">
              <w:rPr>
                <w:rFonts w:ascii="Times New Roman" w:eastAsia="Times New Roman" w:hAnsi="Times New Roman" w:cs="Times New Roman"/>
                <w:caps/>
                <w:color w:val="auto"/>
                <w:sz w:val="18"/>
                <w:szCs w:val="18"/>
                <w:lang w:val="en-US"/>
              </w:rPr>
              <w:t>nay</w:t>
            </w:r>
          </w:p>
        </w:tc>
        <w:tc>
          <w:tcPr>
            <w:tcW w:w="900" w:type="dxa"/>
            <w:tcBorders>
              <w:top w:val="single" w:sz="6" w:space="0" w:color="auto"/>
              <w:left w:val="single" w:sz="6" w:space="0" w:color="auto"/>
              <w:bottom w:val="single" w:sz="6" w:space="0" w:color="auto"/>
              <w:right w:val="single" w:sz="6" w:space="0" w:color="auto"/>
            </w:tcBorders>
            <w:hideMark/>
          </w:tcPr>
          <w:p w14:paraId="27B5BD6D"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Abstain</w:t>
            </w:r>
          </w:p>
        </w:tc>
        <w:tc>
          <w:tcPr>
            <w:tcW w:w="810" w:type="dxa"/>
            <w:tcBorders>
              <w:top w:val="single" w:sz="6" w:space="0" w:color="auto"/>
              <w:left w:val="single" w:sz="6" w:space="0" w:color="auto"/>
              <w:bottom w:val="single" w:sz="6" w:space="0" w:color="auto"/>
              <w:right w:val="single" w:sz="6" w:space="0" w:color="auto"/>
            </w:tcBorders>
            <w:hideMark/>
          </w:tcPr>
          <w:p w14:paraId="0230CA0E"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Absent</w:t>
            </w:r>
          </w:p>
        </w:tc>
        <w:tc>
          <w:tcPr>
            <w:tcW w:w="1800" w:type="dxa"/>
            <w:tcBorders>
              <w:top w:val="single" w:sz="6" w:space="0" w:color="auto"/>
              <w:left w:val="single" w:sz="6" w:space="0" w:color="auto"/>
              <w:bottom w:val="single" w:sz="6" w:space="0" w:color="auto"/>
              <w:right w:val="single" w:sz="6" w:space="0" w:color="auto"/>
            </w:tcBorders>
            <w:hideMark/>
          </w:tcPr>
          <w:p w14:paraId="24C42B31"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aps/>
                <w:color w:val="auto"/>
                <w:sz w:val="18"/>
                <w:szCs w:val="18"/>
                <w:lang w:val="en-US"/>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14B9C1CF"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aps/>
                <w:color w:val="auto"/>
                <w:sz w:val="18"/>
                <w:szCs w:val="18"/>
                <w:lang w:val="en-US"/>
              </w:rPr>
            </w:pPr>
            <w:r w:rsidRPr="0014133B">
              <w:rPr>
                <w:rFonts w:ascii="Times New Roman" w:eastAsia="Times New Roman" w:hAnsi="Times New Roman" w:cs="Times New Roman"/>
                <w:caps/>
                <w:color w:val="auto"/>
                <w:sz w:val="18"/>
                <w:szCs w:val="18"/>
                <w:lang w:val="en-US"/>
              </w:rPr>
              <w:t>aye</w:t>
            </w:r>
          </w:p>
        </w:tc>
        <w:tc>
          <w:tcPr>
            <w:tcW w:w="685" w:type="dxa"/>
            <w:tcBorders>
              <w:top w:val="single" w:sz="6" w:space="0" w:color="auto"/>
              <w:left w:val="single" w:sz="6" w:space="0" w:color="auto"/>
              <w:bottom w:val="single" w:sz="6" w:space="0" w:color="auto"/>
              <w:right w:val="single" w:sz="6" w:space="0" w:color="auto"/>
            </w:tcBorders>
            <w:hideMark/>
          </w:tcPr>
          <w:p w14:paraId="354CE5DC"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aps/>
                <w:color w:val="auto"/>
                <w:sz w:val="18"/>
                <w:szCs w:val="18"/>
                <w:lang w:val="en-US"/>
              </w:rPr>
            </w:pPr>
            <w:r w:rsidRPr="0014133B">
              <w:rPr>
                <w:rFonts w:ascii="Times New Roman" w:eastAsia="Times New Roman" w:hAnsi="Times New Roman" w:cs="Times New Roman"/>
                <w:caps/>
                <w:color w:val="auto"/>
                <w:sz w:val="18"/>
                <w:szCs w:val="18"/>
                <w:lang w:val="en-US"/>
              </w:rPr>
              <w:t>nay</w:t>
            </w:r>
          </w:p>
        </w:tc>
        <w:tc>
          <w:tcPr>
            <w:tcW w:w="900" w:type="dxa"/>
            <w:tcBorders>
              <w:top w:val="single" w:sz="6" w:space="0" w:color="auto"/>
              <w:left w:val="single" w:sz="6" w:space="0" w:color="auto"/>
              <w:bottom w:val="single" w:sz="6" w:space="0" w:color="auto"/>
              <w:right w:val="single" w:sz="6" w:space="0" w:color="auto"/>
            </w:tcBorders>
            <w:hideMark/>
          </w:tcPr>
          <w:p w14:paraId="621B0395"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Abstain</w:t>
            </w:r>
          </w:p>
        </w:tc>
        <w:tc>
          <w:tcPr>
            <w:tcW w:w="810" w:type="dxa"/>
            <w:tcBorders>
              <w:top w:val="single" w:sz="6" w:space="0" w:color="auto"/>
              <w:left w:val="single" w:sz="6" w:space="0" w:color="auto"/>
              <w:bottom w:val="single" w:sz="6" w:space="0" w:color="auto"/>
              <w:right w:val="single" w:sz="6" w:space="0" w:color="auto"/>
            </w:tcBorders>
            <w:hideMark/>
          </w:tcPr>
          <w:p w14:paraId="41656317"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Absent</w:t>
            </w:r>
          </w:p>
        </w:tc>
      </w:tr>
      <w:tr w:rsidR="0014133B" w:rsidRPr="0014133B" w14:paraId="4338CD0A" w14:textId="77777777" w:rsidTr="00E52537">
        <w:tc>
          <w:tcPr>
            <w:tcW w:w="1890" w:type="dxa"/>
            <w:tcBorders>
              <w:top w:val="single" w:sz="6" w:space="0" w:color="auto"/>
              <w:left w:val="single" w:sz="6" w:space="0" w:color="auto"/>
              <w:bottom w:val="single" w:sz="6" w:space="0" w:color="auto"/>
              <w:right w:val="single" w:sz="6" w:space="0" w:color="auto"/>
            </w:tcBorders>
            <w:hideMark/>
          </w:tcPr>
          <w:p w14:paraId="69DD13A3"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Costa</w:t>
            </w:r>
          </w:p>
        </w:tc>
        <w:tc>
          <w:tcPr>
            <w:tcW w:w="720" w:type="dxa"/>
            <w:tcBorders>
              <w:top w:val="single" w:sz="6" w:space="0" w:color="auto"/>
              <w:left w:val="single" w:sz="6" w:space="0" w:color="auto"/>
              <w:bottom w:val="single" w:sz="6" w:space="0" w:color="auto"/>
              <w:right w:val="single" w:sz="6" w:space="0" w:color="auto"/>
            </w:tcBorders>
          </w:tcPr>
          <w:p w14:paraId="614745F4" w14:textId="7CDBD77A" w:rsidR="0014133B" w:rsidRPr="0014133B" w:rsidRDefault="000A29DA"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Pr>
                <w:rFonts w:ascii="Times New Roman" w:eastAsia="Times New Roman" w:hAnsi="Times New Roman" w:cs="Times New Roman"/>
                <w:color w:val="auto"/>
                <w:sz w:val="18"/>
                <w:szCs w:val="18"/>
                <w:lang w:val="en-US"/>
              </w:rPr>
              <w:t>X</w:t>
            </w:r>
          </w:p>
        </w:tc>
        <w:tc>
          <w:tcPr>
            <w:tcW w:w="720" w:type="dxa"/>
            <w:tcBorders>
              <w:top w:val="single" w:sz="6" w:space="0" w:color="auto"/>
              <w:left w:val="single" w:sz="6" w:space="0" w:color="auto"/>
              <w:bottom w:val="single" w:sz="6" w:space="0" w:color="auto"/>
              <w:right w:val="single" w:sz="6" w:space="0" w:color="auto"/>
            </w:tcBorders>
          </w:tcPr>
          <w:p w14:paraId="06539782"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900" w:type="dxa"/>
            <w:tcBorders>
              <w:top w:val="single" w:sz="6" w:space="0" w:color="auto"/>
              <w:left w:val="single" w:sz="6" w:space="0" w:color="auto"/>
              <w:bottom w:val="single" w:sz="6" w:space="0" w:color="auto"/>
              <w:right w:val="single" w:sz="6" w:space="0" w:color="auto"/>
            </w:tcBorders>
          </w:tcPr>
          <w:p w14:paraId="4FE7FEFD"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810" w:type="dxa"/>
            <w:tcBorders>
              <w:top w:val="single" w:sz="6" w:space="0" w:color="auto"/>
              <w:left w:val="single" w:sz="6" w:space="0" w:color="auto"/>
              <w:bottom w:val="single" w:sz="6" w:space="0" w:color="auto"/>
              <w:right w:val="single" w:sz="6" w:space="0" w:color="auto"/>
            </w:tcBorders>
          </w:tcPr>
          <w:p w14:paraId="122E028F"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1800" w:type="dxa"/>
            <w:tcBorders>
              <w:top w:val="single" w:sz="6" w:space="0" w:color="auto"/>
              <w:left w:val="single" w:sz="6" w:space="0" w:color="auto"/>
              <w:bottom w:val="single" w:sz="6" w:space="0" w:color="auto"/>
              <w:right w:val="single" w:sz="6" w:space="0" w:color="auto"/>
            </w:tcBorders>
            <w:hideMark/>
          </w:tcPr>
          <w:p w14:paraId="0A24E8D7"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Hudson</w:t>
            </w:r>
          </w:p>
        </w:tc>
        <w:tc>
          <w:tcPr>
            <w:tcW w:w="665" w:type="dxa"/>
            <w:tcBorders>
              <w:top w:val="single" w:sz="6" w:space="0" w:color="auto"/>
              <w:left w:val="single" w:sz="6" w:space="0" w:color="auto"/>
              <w:bottom w:val="single" w:sz="6" w:space="0" w:color="auto"/>
              <w:right w:val="single" w:sz="6" w:space="0" w:color="auto"/>
            </w:tcBorders>
          </w:tcPr>
          <w:p w14:paraId="45053F1F" w14:textId="6B466C62" w:rsidR="0014133B" w:rsidRPr="0014133B" w:rsidRDefault="000A29DA"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Pr>
                <w:rFonts w:ascii="Times New Roman" w:eastAsia="Times New Roman" w:hAnsi="Times New Roman" w:cs="Times New Roman"/>
                <w:color w:val="auto"/>
                <w:sz w:val="18"/>
                <w:szCs w:val="18"/>
                <w:lang w:val="en-US"/>
              </w:rPr>
              <w:t>X</w:t>
            </w:r>
          </w:p>
        </w:tc>
        <w:tc>
          <w:tcPr>
            <w:tcW w:w="685" w:type="dxa"/>
            <w:tcBorders>
              <w:top w:val="single" w:sz="6" w:space="0" w:color="auto"/>
              <w:left w:val="single" w:sz="6" w:space="0" w:color="auto"/>
              <w:bottom w:val="single" w:sz="6" w:space="0" w:color="auto"/>
              <w:right w:val="single" w:sz="6" w:space="0" w:color="auto"/>
            </w:tcBorders>
          </w:tcPr>
          <w:p w14:paraId="755358E2"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900" w:type="dxa"/>
            <w:tcBorders>
              <w:top w:val="single" w:sz="6" w:space="0" w:color="auto"/>
              <w:left w:val="single" w:sz="6" w:space="0" w:color="auto"/>
              <w:bottom w:val="single" w:sz="6" w:space="0" w:color="auto"/>
              <w:right w:val="single" w:sz="6" w:space="0" w:color="auto"/>
            </w:tcBorders>
          </w:tcPr>
          <w:p w14:paraId="1985C107"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810" w:type="dxa"/>
            <w:tcBorders>
              <w:top w:val="single" w:sz="6" w:space="0" w:color="auto"/>
              <w:left w:val="single" w:sz="6" w:space="0" w:color="auto"/>
              <w:bottom w:val="single" w:sz="6" w:space="0" w:color="auto"/>
              <w:right w:val="single" w:sz="6" w:space="0" w:color="auto"/>
            </w:tcBorders>
          </w:tcPr>
          <w:p w14:paraId="3B4AE4D0"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r>
      <w:tr w:rsidR="0014133B" w:rsidRPr="0014133B" w14:paraId="30374B33" w14:textId="77777777" w:rsidTr="00E52537">
        <w:tc>
          <w:tcPr>
            <w:tcW w:w="1890" w:type="dxa"/>
            <w:tcBorders>
              <w:top w:val="single" w:sz="6" w:space="0" w:color="auto"/>
              <w:left w:val="single" w:sz="6" w:space="0" w:color="auto"/>
              <w:bottom w:val="single" w:sz="6" w:space="0" w:color="auto"/>
              <w:right w:val="single" w:sz="6" w:space="0" w:color="auto"/>
            </w:tcBorders>
            <w:hideMark/>
          </w:tcPr>
          <w:p w14:paraId="751ECB6D"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D’Amato</w:t>
            </w:r>
          </w:p>
        </w:tc>
        <w:tc>
          <w:tcPr>
            <w:tcW w:w="720" w:type="dxa"/>
            <w:tcBorders>
              <w:top w:val="single" w:sz="6" w:space="0" w:color="auto"/>
              <w:left w:val="single" w:sz="6" w:space="0" w:color="auto"/>
              <w:bottom w:val="single" w:sz="6" w:space="0" w:color="auto"/>
              <w:right w:val="single" w:sz="6" w:space="0" w:color="auto"/>
            </w:tcBorders>
          </w:tcPr>
          <w:p w14:paraId="396F09C9" w14:textId="18E654D7" w:rsidR="0014133B" w:rsidRPr="0014133B" w:rsidRDefault="000A29DA"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Pr>
                <w:rFonts w:ascii="Times New Roman" w:eastAsia="Times New Roman" w:hAnsi="Times New Roman" w:cs="Times New Roman"/>
                <w:color w:val="auto"/>
                <w:sz w:val="18"/>
                <w:szCs w:val="18"/>
                <w:lang w:val="en-US"/>
              </w:rPr>
              <w:t>X</w:t>
            </w:r>
          </w:p>
        </w:tc>
        <w:tc>
          <w:tcPr>
            <w:tcW w:w="720" w:type="dxa"/>
            <w:tcBorders>
              <w:top w:val="single" w:sz="6" w:space="0" w:color="auto"/>
              <w:left w:val="single" w:sz="6" w:space="0" w:color="auto"/>
              <w:bottom w:val="single" w:sz="6" w:space="0" w:color="auto"/>
              <w:right w:val="single" w:sz="6" w:space="0" w:color="auto"/>
            </w:tcBorders>
          </w:tcPr>
          <w:p w14:paraId="73D74127"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900" w:type="dxa"/>
            <w:tcBorders>
              <w:top w:val="single" w:sz="6" w:space="0" w:color="auto"/>
              <w:left w:val="single" w:sz="6" w:space="0" w:color="auto"/>
              <w:bottom w:val="single" w:sz="6" w:space="0" w:color="auto"/>
              <w:right w:val="single" w:sz="6" w:space="0" w:color="auto"/>
            </w:tcBorders>
          </w:tcPr>
          <w:p w14:paraId="23EB6CE8"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810" w:type="dxa"/>
            <w:tcBorders>
              <w:top w:val="single" w:sz="6" w:space="0" w:color="auto"/>
              <w:left w:val="single" w:sz="6" w:space="0" w:color="auto"/>
              <w:bottom w:val="single" w:sz="6" w:space="0" w:color="auto"/>
              <w:right w:val="single" w:sz="6" w:space="0" w:color="auto"/>
            </w:tcBorders>
          </w:tcPr>
          <w:p w14:paraId="19BDBDF3"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1800" w:type="dxa"/>
            <w:tcBorders>
              <w:top w:val="single" w:sz="6" w:space="0" w:color="auto"/>
              <w:left w:val="single" w:sz="6" w:space="0" w:color="auto"/>
              <w:bottom w:val="single" w:sz="6" w:space="0" w:color="auto"/>
              <w:right w:val="single" w:sz="6" w:space="0" w:color="auto"/>
            </w:tcBorders>
            <w:hideMark/>
          </w:tcPr>
          <w:p w14:paraId="1F2CD990"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roofErr w:type="spellStart"/>
            <w:r w:rsidRPr="0014133B">
              <w:rPr>
                <w:rFonts w:ascii="Times New Roman" w:eastAsia="Times New Roman" w:hAnsi="Times New Roman" w:cs="Times New Roman"/>
                <w:color w:val="auto"/>
                <w:sz w:val="18"/>
                <w:szCs w:val="18"/>
                <w:lang w:val="en-US"/>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14:paraId="16A32B54" w14:textId="07B8DF5F" w:rsidR="0014133B" w:rsidRPr="0014133B" w:rsidRDefault="000A29DA"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Pr>
                <w:rFonts w:ascii="Times New Roman" w:eastAsia="Times New Roman" w:hAnsi="Times New Roman" w:cs="Times New Roman"/>
                <w:color w:val="auto"/>
                <w:sz w:val="18"/>
                <w:szCs w:val="18"/>
                <w:lang w:val="en-US"/>
              </w:rPr>
              <w:t>X</w:t>
            </w:r>
          </w:p>
        </w:tc>
        <w:tc>
          <w:tcPr>
            <w:tcW w:w="685" w:type="dxa"/>
            <w:tcBorders>
              <w:top w:val="single" w:sz="6" w:space="0" w:color="auto"/>
              <w:left w:val="single" w:sz="6" w:space="0" w:color="auto"/>
              <w:bottom w:val="single" w:sz="6" w:space="0" w:color="auto"/>
              <w:right w:val="single" w:sz="6" w:space="0" w:color="auto"/>
            </w:tcBorders>
          </w:tcPr>
          <w:p w14:paraId="0CC1E9F8"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900" w:type="dxa"/>
            <w:tcBorders>
              <w:top w:val="single" w:sz="6" w:space="0" w:color="auto"/>
              <w:left w:val="single" w:sz="6" w:space="0" w:color="auto"/>
              <w:bottom w:val="single" w:sz="6" w:space="0" w:color="auto"/>
              <w:right w:val="single" w:sz="6" w:space="0" w:color="auto"/>
            </w:tcBorders>
          </w:tcPr>
          <w:p w14:paraId="06398845"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810" w:type="dxa"/>
            <w:tcBorders>
              <w:top w:val="single" w:sz="6" w:space="0" w:color="auto"/>
              <w:left w:val="single" w:sz="6" w:space="0" w:color="auto"/>
              <w:bottom w:val="single" w:sz="6" w:space="0" w:color="auto"/>
              <w:right w:val="single" w:sz="6" w:space="0" w:color="auto"/>
            </w:tcBorders>
          </w:tcPr>
          <w:p w14:paraId="682D62E1"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r>
      <w:tr w:rsidR="0014133B" w:rsidRPr="0014133B" w14:paraId="771C67A0" w14:textId="77777777" w:rsidTr="00E52537">
        <w:tc>
          <w:tcPr>
            <w:tcW w:w="1890" w:type="dxa"/>
            <w:tcBorders>
              <w:top w:val="single" w:sz="6" w:space="0" w:color="auto"/>
              <w:left w:val="single" w:sz="6" w:space="0" w:color="auto"/>
              <w:bottom w:val="single" w:sz="6" w:space="0" w:color="auto"/>
              <w:right w:val="single" w:sz="6" w:space="0" w:color="auto"/>
            </w:tcBorders>
            <w:hideMark/>
          </w:tcPr>
          <w:p w14:paraId="544CA7DC"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Dellaripa</w:t>
            </w:r>
          </w:p>
        </w:tc>
        <w:tc>
          <w:tcPr>
            <w:tcW w:w="720" w:type="dxa"/>
            <w:tcBorders>
              <w:top w:val="single" w:sz="6" w:space="0" w:color="auto"/>
              <w:left w:val="single" w:sz="6" w:space="0" w:color="auto"/>
              <w:bottom w:val="single" w:sz="6" w:space="0" w:color="auto"/>
              <w:right w:val="single" w:sz="6" w:space="0" w:color="auto"/>
            </w:tcBorders>
          </w:tcPr>
          <w:p w14:paraId="1BD095F0"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720" w:type="dxa"/>
            <w:tcBorders>
              <w:top w:val="single" w:sz="6" w:space="0" w:color="auto"/>
              <w:left w:val="single" w:sz="6" w:space="0" w:color="auto"/>
              <w:bottom w:val="single" w:sz="6" w:space="0" w:color="auto"/>
              <w:right w:val="single" w:sz="6" w:space="0" w:color="auto"/>
            </w:tcBorders>
          </w:tcPr>
          <w:p w14:paraId="2C14EB0F"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900" w:type="dxa"/>
            <w:tcBorders>
              <w:top w:val="single" w:sz="6" w:space="0" w:color="auto"/>
              <w:left w:val="single" w:sz="6" w:space="0" w:color="auto"/>
              <w:bottom w:val="single" w:sz="6" w:space="0" w:color="auto"/>
              <w:right w:val="single" w:sz="6" w:space="0" w:color="auto"/>
            </w:tcBorders>
          </w:tcPr>
          <w:p w14:paraId="398A743E"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810" w:type="dxa"/>
            <w:tcBorders>
              <w:top w:val="single" w:sz="6" w:space="0" w:color="auto"/>
              <w:left w:val="single" w:sz="6" w:space="0" w:color="auto"/>
              <w:bottom w:val="single" w:sz="6" w:space="0" w:color="auto"/>
              <w:right w:val="single" w:sz="6" w:space="0" w:color="auto"/>
            </w:tcBorders>
          </w:tcPr>
          <w:p w14:paraId="0F9A478B" w14:textId="575176C6" w:rsidR="0014133B" w:rsidRPr="0014133B" w:rsidRDefault="000A29DA"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Pr>
                <w:rFonts w:ascii="Times New Roman" w:eastAsia="Times New Roman" w:hAnsi="Times New Roman" w:cs="Times New Roman"/>
                <w:color w:val="auto"/>
                <w:sz w:val="18"/>
                <w:szCs w:val="18"/>
                <w:lang w:val="en-US"/>
              </w:rPr>
              <w:t>X</w:t>
            </w:r>
          </w:p>
        </w:tc>
        <w:tc>
          <w:tcPr>
            <w:tcW w:w="1800" w:type="dxa"/>
            <w:tcBorders>
              <w:top w:val="single" w:sz="6" w:space="0" w:color="auto"/>
              <w:left w:val="single" w:sz="6" w:space="0" w:color="auto"/>
              <w:bottom w:val="single" w:sz="6" w:space="0" w:color="auto"/>
              <w:right w:val="single" w:sz="6" w:space="0" w:color="auto"/>
            </w:tcBorders>
            <w:hideMark/>
          </w:tcPr>
          <w:p w14:paraId="2CB74AE2"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Yazdi</w:t>
            </w:r>
          </w:p>
        </w:tc>
        <w:tc>
          <w:tcPr>
            <w:tcW w:w="665" w:type="dxa"/>
            <w:tcBorders>
              <w:top w:val="single" w:sz="6" w:space="0" w:color="auto"/>
              <w:left w:val="single" w:sz="6" w:space="0" w:color="auto"/>
              <w:bottom w:val="single" w:sz="6" w:space="0" w:color="auto"/>
              <w:right w:val="single" w:sz="6" w:space="0" w:color="auto"/>
            </w:tcBorders>
          </w:tcPr>
          <w:p w14:paraId="0EC07A19"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685" w:type="dxa"/>
            <w:tcBorders>
              <w:top w:val="single" w:sz="6" w:space="0" w:color="auto"/>
              <w:left w:val="single" w:sz="6" w:space="0" w:color="auto"/>
              <w:bottom w:val="single" w:sz="6" w:space="0" w:color="auto"/>
              <w:right w:val="single" w:sz="6" w:space="0" w:color="auto"/>
            </w:tcBorders>
          </w:tcPr>
          <w:p w14:paraId="0918DB31"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900" w:type="dxa"/>
            <w:tcBorders>
              <w:top w:val="single" w:sz="6" w:space="0" w:color="auto"/>
              <w:left w:val="single" w:sz="6" w:space="0" w:color="auto"/>
              <w:bottom w:val="single" w:sz="6" w:space="0" w:color="auto"/>
              <w:right w:val="single" w:sz="6" w:space="0" w:color="auto"/>
            </w:tcBorders>
          </w:tcPr>
          <w:p w14:paraId="199D8C91"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tc>
        <w:tc>
          <w:tcPr>
            <w:tcW w:w="810" w:type="dxa"/>
            <w:tcBorders>
              <w:top w:val="single" w:sz="6" w:space="0" w:color="auto"/>
              <w:left w:val="single" w:sz="6" w:space="0" w:color="auto"/>
              <w:bottom w:val="single" w:sz="6" w:space="0" w:color="auto"/>
              <w:right w:val="single" w:sz="6" w:space="0" w:color="auto"/>
            </w:tcBorders>
          </w:tcPr>
          <w:p w14:paraId="4C265F22" w14:textId="5A5DE50D" w:rsidR="0014133B" w:rsidRPr="0014133B" w:rsidRDefault="000A29DA"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Pr>
                <w:rFonts w:ascii="Times New Roman" w:eastAsia="Times New Roman" w:hAnsi="Times New Roman" w:cs="Times New Roman"/>
                <w:color w:val="auto"/>
                <w:sz w:val="18"/>
                <w:szCs w:val="18"/>
                <w:lang w:val="en-US"/>
              </w:rPr>
              <w:t>X</w:t>
            </w:r>
          </w:p>
        </w:tc>
      </w:tr>
    </w:tbl>
    <w:p w14:paraId="75B9840B"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p w14:paraId="690B8404"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I hereby certify that the foregoing is a true copy of a Resolution adopted by the Governing Body of the Borough of Bloomingdale at an Official Meeting held on April 17, 2018.</w:t>
      </w:r>
    </w:p>
    <w:p w14:paraId="79D48E8D"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p>
    <w:p w14:paraId="6A6DB626"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___________________________________</w:t>
      </w:r>
    </w:p>
    <w:p w14:paraId="0DF1C49F"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18"/>
          <w:szCs w:val="18"/>
          <w:lang w:val="en-US"/>
        </w:rPr>
      </w:pPr>
      <w:r w:rsidRPr="0014133B">
        <w:rPr>
          <w:rFonts w:ascii="Times New Roman" w:eastAsia="Times New Roman" w:hAnsi="Times New Roman" w:cs="Times New Roman"/>
          <w:color w:val="auto"/>
          <w:sz w:val="18"/>
          <w:szCs w:val="18"/>
          <w:lang w:val="en-US"/>
        </w:rPr>
        <w:t>Breeanna Calabro, R.M.C.</w:t>
      </w:r>
    </w:p>
    <w:p w14:paraId="0F10C20F" w14:textId="77777777" w:rsidR="0014133B" w:rsidRPr="0014133B" w:rsidRDefault="0014133B" w:rsidP="0014133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14133B">
        <w:rPr>
          <w:rFonts w:ascii="Times New Roman" w:eastAsia="Times New Roman" w:hAnsi="Times New Roman" w:cs="Times New Roman"/>
          <w:color w:val="auto"/>
          <w:sz w:val="18"/>
          <w:szCs w:val="18"/>
          <w:lang w:val="en-US"/>
        </w:rPr>
        <w:t>Municipal Clerk, Borough of Bloomingdale</w:t>
      </w:r>
    </w:p>
    <w:p w14:paraId="7C132AAD" w14:textId="77777777" w:rsidR="0014133B" w:rsidRPr="00093637" w:rsidRDefault="0014133B">
      <w:pPr>
        <w:rPr>
          <w:rFonts w:ascii="Times New Roman" w:hAnsi="Times New Roman" w:cs="Times New Roman"/>
          <w:sz w:val="24"/>
          <w:szCs w:val="24"/>
        </w:rPr>
      </w:pPr>
    </w:p>
    <w:sectPr w:rsidR="0014133B" w:rsidRPr="0009363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7B"/>
    <w:rsid w:val="00093637"/>
    <w:rsid w:val="000A29DA"/>
    <w:rsid w:val="0014133B"/>
    <w:rsid w:val="001F7286"/>
    <w:rsid w:val="00291DBD"/>
    <w:rsid w:val="00295FA7"/>
    <w:rsid w:val="002F419E"/>
    <w:rsid w:val="003856FE"/>
    <w:rsid w:val="004A77FE"/>
    <w:rsid w:val="005D14C7"/>
    <w:rsid w:val="00764D0E"/>
    <w:rsid w:val="00B01C7B"/>
    <w:rsid w:val="00DC5D5E"/>
    <w:rsid w:val="00EE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1DD2B5"/>
  <w15:docId w15:val="{27A68840-837A-4CFA-8796-93D07431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14133B"/>
    <w:rPr>
      <w:color w:val="0000FF" w:themeColor="hyperlink"/>
      <w:u w:val="single"/>
    </w:rPr>
  </w:style>
  <w:style w:type="character" w:customStyle="1" w:styleId="UnresolvedMention">
    <w:name w:val="Unresolved Mention"/>
    <w:basedOn w:val="DefaultParagraphFont"/>
    <w:uiPriority w:val="99"/>
    <w:semiHidden/>
    <w:unhideWhenUsed/>
    <w:rsid w:val="001413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eer.org/projects/carbon-free-nuclear-free/" TargetMode="External"/><Relationship Id="rId5" Type="http://schemas.openxmlformats.org/officeDocument/2006/relationships/hyperlink" Target="http://www.catf.us/resources/publications/files/The_Toll_from_Coal.pdf" TargetMode="External"/><Relationship Id="rId4" Type="http://schemas.openxmlformats.org/officeDocument/2006/relationships/hyperlink" Target="http://www.ipcc.ch/report/ar5/w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Goellner</dc:creator>
  <cp:lastModifiedBy>Breeanna Calabro</cp:lastModifiedBy>
  <cp:revision>10</cp:revision>
  <dcterms:created xsi:type="dcterms:W3CDTF">2018-04-02T21:03:00Z</dcterms:created>
  <dcterms:modified xsi:type="dcterms:W3CDTF">2018-04-18T15:56:00Z</dcterms:modified>
</cp:coreProperties>
</file>