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E1" w:rsidRPr="00C267E1" w:rsidRDefault="00C267E1" w:rsidP="00C267E1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C267E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RESOLUT ION NO. 2014-5.___</w:t>
      </w:r>
    </w:p>
    <w:p w:rsidR="00C267E1" w:rsidRPr="00C267E1" w:rsidRDefault="00C267E1" w:rsidP="00C267E1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C267E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OF THE GOVERNING BODY</w:t>
      </w:r>
    </w:p>
    <w:p w:rsidR="00C267E1" w:rsidRPr="00C267E1" w:rsidRDefault="00C267E1" w:rsidP="00C267E1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 w:rsidRPr="00C267E1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OF THE BOROUGH OF BLOOMINGDALE</w:t>
      </w:r>
    </w:p>
    <w:p w:rsidR="00C267E1" w:rsidRPr="00C267E1" w:rsidRDefault="00C267E1" w:rsidP="00C267E1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</w:pPr>
    </w:p>
    <w:p w:rsidR="00C267E1" w:rsidRPr="00C267E1" w:rsidRDefault="00C267E1" w:rsidP="00C267E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Whereas, Joint Base McGuire-Dix-Lakehurst,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Picatinny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Arsenal, Naval Weapons Station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Earle, the 177</w:t>
      </w:r>
      <w:r>
        <w:rPr>
          <w:rFonts w:ascii="TimesNewRomanPSMT" w:hAnsi="TimesNewRomanPSMT" w:cs="TimesNewRomanPSMT"/>
          <w:sz w:val="17"/>
          <w:szCs w:val="17"/>
        </w:rPr>
        <w:t xml:space="preserve">th </w:t>
      </w:r>
      <w:r>
        <w:rPr>
          <w:rFonts w:ascii="TimesNewRomanPSMT" w:hAnsi="TimesNewRomanPSMT" w:cs="TimesNewRomanPSMT"/>
          <w:sz w:val="26"/>
          <w:szCs w:val="26"/>
        </w:rPr>
        <w:t>Air National Guard Wing in Atlantic City, the Cape May Coast Guard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Training Center are major federal assets in the state of New Jersey;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the Rutgers Economic Advisory Service, R/ECON™ recently conducted 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study which measured and modeled the economic contribution to the state’s economy of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our military installations;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the Rutgers Economic Advisory Service determined that, in net, the federal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government spent nearly $4.8 billion within the state, which generates over 45,600 jobs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that pay about $2.6 billion and add about $3.8 billion of wealth to state residents;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the $4.8 billion in annual federal spending results in $9.6 billion in net business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revenues;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of this total, $6.5 billion is net wealth was added in the form of Gross Domestic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Product by the State;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of this GDP total, over $4.0 billion is in the form of labor income that supports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an estimated 73,234 jobs, a number greater than the combined employment of the State’s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communications and chemical industries;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all New Jersey military installations make significant individual and collective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contributions to the capabilities of our Armed Forces and our national security;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maintaining and expanding this military core is nearly as critical for its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continued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economic welfare as it is to the State’s homeland security missions;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Whereas, in an era of Federal fiscal austerity, policy-makers in our Nation’s Capital will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be asked to consider proposals to reduce defense spending and the size of our uniformed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services;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Now, therefore, be it resolved that the Governor and the State Senate and Assembly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should take immediate steps to protect these valuable military assets, </w:t>
      </w:r>
      <w:r>
        <w:rPr>
          <w:rFonts w:ascii="TimesNewRomanPSMT" w:hAnsi="TimesNewRomanPSMT" w:cs="TimesNewRomanPSMT"/>
          <w:sz w:val="26"/>
          <w:szCs w:val="26"/>
        </w:rPr>
        <w:lastRenderedPageBreak/>
        <w:t>in recognition of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their vital importance to our Nation’s and our State’s security; and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Be it </w:t>
      </w:r>
      <w:r>
        <w:rPr>
          <w:rFonts w:ascii="TimesNewRomanPSMT" w:hAnsi="TimesNewRomanPSMT" w:cs="TimesNewRomanPSMT"/>
          <w:sz w:val="26"/>
          <w:szCs w:val="26"/>
        </w:rPr>
        <w:t xml:space="preserve">further resolved that the Governing Body of the Borough of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Bloomingale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joins with the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New Jersey League of Municipalities in calling on our State leaders to work in concert to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promote the preservation, growth and development of our New Jersey military facilities.</w:t>
      </w: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267E1" w:rsidRPr="001F448B" w:rsidRDefault="00C267E1" w:rsidP="00C267E1"/>
    <w:p w:rsidR="00C267E1" w:rsidRDefault="00C267E1" w:rsidP="00C267E1">
      <w:r>
        <w:rPr>
          <w:b/>
        </w:rPr>
        <w:tab/>
      </w:r>
    </w:p>
    <w:p w:rsidR="00C267E1" w:rsidRDefault="00C267E1" w:rsidP="00C267E1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C267E1" w:rsidTr="00C833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C267E1" w:rsidTr="00C833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</w:tr>
      <w:tr w:rsidR="00C267E1" w:rsidTr="00C833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</w:tr>
      <w:tr w:rsidR="00C267E1" w:rsidTr="00C833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1" w:rsidRDefault="00C267E1" w:rsidP="00C83381">
            <w:pPr>
              <w:rPr>
                <w:sz w:val="18"/>
              </w:rPr>
            </w:pPr>
          </w:p>
        </w:tc>
      </w:tr>
    </w:tbl>
    <w:p w:rsidR="00C267E1" w:rsidRDefault="00C267E1" w:rsidP="00C267E1">
      <w:pPr>
        <w:rPr>
          <w:sz w:val="18"/>
        </w:rPr>
      </w:pPr>
    </w:p>
    <w:p w:rsidR="00C267E1" w:rsidRDefault="00C267E1" w:rsidP="00C267E1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C267E1" w:rsidRDefault="00C267E1" w:rsidP="00C267E1">
      <w:pPr>
        <w:rPr>
          <w:sz w:val="18"/>
        </w:rPr>
      </w:pPr>
      <w:r>
        <w:rPr>
          <w:sz w:val="18"/>
        </w:rPr>
        <w:t>Borough of Bloomingdale at an Official Meeting held on Tuesday, May 20, 2014.</w:t>
      </w:r>
    </w:p>
    <w:p w:rsidR="00C267E1" w:rsidRDefault="00C267E1" w:rsidP="00C267E1">
      <w:pPr>
        <w:rPr>
          <w:sz w:val="18"/>
        </w:rPr>
      </w:pPr>
    </w:p>
    <w:p w:rsidR="00C267E1" w:rsidRDefault="00C267E1" w:rsidP="00C267E1">
      <w:pPr>
        <w:rPr>
          <w:sz w:val="18"/>
        </w:rPr>
      </w:pPr>
      <w:r>
        <w:rPr>
          <w:sz w:val="18"/>
        </w:rPr>
        <w:t>___________________________________</w:t>
      </w:r>
    </w:p>
    <w:p w:rsidR="00C267E1" w:rsidRDefault="00C267E1" w:rsidP="00C267E1">
      <w:pPr>
        <w:rPr>
          <w:sz w:val="18"/>
        </w:rPr>
      </w:pPr>
      <w:r>
        <w:rPr>
          <w:sz w:val="18"/>
        </w:rPr>
        <w:t>Jane McCarthy, R.M.C.</w:t>
      </w:r>
    </w:p>
    <w:p w:rsidR="00C267E1" w:rsidRDefault="00C267E1" w:rsidP="00C267E1">
      <w:pPr>
        <w:rPr>
          <w:sz w:val="24"/>
        </w:rPr>
      </w:pPr>
      <w:r>
        <w:rPr>
          <w:sz w:val="18"/>
        </w:rPr>
        <w:t>Municipal Clerk, Borough of Bloomingdale</w:t>
      </w:r>
    </w:p>
    <w:p w:rsidR="00C267E1" w:rsidRDefault="00C267E1" w:rsidP="00C267E1"/>
    <w:p w:rsidR="00C267E1" w:rsidRDefault="00C267E1" w:rsidP="00C267E1"/>
    <w:p w:rsidR="00C267E1" w:rsidRDefault="00C267E1" w:rsidP="00C267E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sectPr w:rsidR="00C2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1"/>
    <w:rsid w:val="00C267E1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77EEA-C767-4C1E-9193-D2C94B7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67E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7E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2014-05-15T12:33:00Z</cp:lastPrinted>
  <dcterms:created xsi:type="dcterms:W3CDTF">2014-05-15T12:27:00Z</dcterms:created>
  <dcterms:modified xsi:type="dcterms:W3CDTF">2014-05-15T12:33:00Z</dcterms:modified>
</cp:coreProperties>
</file>